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FDA12E" w14:textId="679F6407" w:rsidR="0011347F" w:rsidRPr="00F87A45" w:rsidRDefault="0011347F" w:rsidP="0011347F">
      <w:pPr>
        <w:pStyle w:val="Header"/>
        <w:tabs>
          <w:tab w:val="right" w:pos="8280"/>
          <w:tab w:val="right" w:pos="9639"/>
        </w:tabs>
        <w:jc w:val="both"/>
        <w:rPr>
          <w:rFonts w:cs="Arial"/>
          <w:noProof w:val="0"/>
          <w:sz w:val="24"/>
        </w:rPr>
      </w:pPr>
      <w:r w:rsidRPr="0099437F">
        <w:rPr>
          <w:rFonts w:cs="Arial"/>
          <w:sz w:val="24"/>
          <w:szCs w:val="24"/>
        </w:rPr>
        <w:t>3GPP TSG-RAN WG4 Meeting #1</w:t>
      </w:r>
      <w:r w:rsidR="00F07B5F" w:rsidRPr="0099437F">
        <w:rPr>
          <w:rFonts w:cs="Arial"/>
          <w:sz w:val="24"/>
          <w:szCs w:val="24"/>
        </w:rPr>
        <w:t>1</w:t>
      </w:r>
      <w:r w:rsidR="00955E3D" w:rsidRPr="0099437F">
        <w:rPr>
          <w:rFonts w:cs="Arial"/>
          <w:sz w:val="24"/>
          <w:szCs w:val="24"/>
        </w:rPr>
        <w:t>2</w:t>
      </w:r>
      <w:r w:rsidRPr="0099437F">
        <w:rPr>
          <w:rFonts w:cs="Arial"/>
          <w:noProof w:val="0"/>
          <w:sz w:val="24"/>
        </w:rPr>
        <w:tab/>
      </w:r>
      <w:r w:rsidR="00925E76" w:rsidRPr="0099437F">
        <w:rPr>
          <w:rFonts w:cs="Arial"/>
          <w:noProof w:val="0"/>
          <w:sz w:val="24"/>
        </w:rPr>
        <w:tab/>
      </w:r>
      <w:r w:rsidRPr="0099437F">
        <w:rPr>
          <w:rFonts w:cs="Arial"/>
          <w:noProof w:val="0"/>
          <w:sz w:val="24"/>
        </w:rPr>
        <w:t>R4-</w:t>
      </w:r>
      <w:r w:rsidR="005C3392" w:rsidRPr="0099437F">
        <w:rPr>
          <w:rFonts w:cs="Arial"/>
          <w:noProof w:val="0"/>
          <w:sz w:val="24"/>
        </w:rPr>
        <w:t>2</w:t>
      </w:r>
      <w:r w:rsidR="00F07B5F" w:rsidRPr="0099437F">
        <w:rPr>
          <w:rFonts w:cs="Arial"/>
          <w:noProof w:val="0"/>
          <w:sz w:val="24"/>
        </w:rPr>
        <w:t>4</w:t>
      </w:r>
      <w:r w:rsidR="0099437F">
        <w:rPr>
          <w:rFonts w:cs="Arial"/>
          <w:noProof w:val="0"/>
          <w:sz w:val="24"/>
        </w:rPr>
        <w:t>12418</w:t>
      </w:r>
    </w:p>
    <w:p w14:paraId="321D1244" w14:textId="6A1FB623" w:rsidR="0011347F" w:rsidRPr="00AB081E" w:rsidRDefault="00955E3D" w:rsidP="00955E3D">
      <w:pPr>
        <w:pStyle w:val="Header"/>
        <w:tabs>
          <w:tab w:val="left" w:pos="3150"/>
          <w:tab w:val="right" w:pos="8280"/>
          <w:tab w:val="right" w:pos="9639"/>
        </w:tabs>
        <w:jc w:val="both"/>
        <w:rPr>
          <w:rFonts w:cs="Arial"/>
          <w:sz w:val="24"/>
          <w:szCs w:val="24"/>
        </w:rPr>
      </w:pPr>
      <w:r>
        <w:rPr>
          <w:rFonts w:cs="Arial"/>
          <w:sz w:val="24"/>
          <w:szCs w:val="24"/>
        </w:rPr>
        <w:t>Maastricht</w:t>
      </w:r>
      <w:r w:rsidR="00D00CC3">
        <w:rPr>
          <w:rFonts w:cs="Arial"/>
          <w:sz w:val="24"/>
          <w:szCs w:val="24"/>
        </w:rPr>
        <w:t xml:space="preserve">, </w:t>
      </w:r>
      <w:r>
        <w:rPr>
          <w:rFonts w:cs="Arial"/>
          <w:sz w:val="24"/>
          <w:szCs w:val="24"/>
        </w:rPr>
        <w:t>Netherlands</w:t>
      </w:r>
      <w:r w:rsidR="0011347F" w:rsidRPr="00AB081E">
        <w:rPr>
          <w:rFonts w:cs="Arial"/>
          <w:sz w:val="24"/>
          <w:szCs w:val="24"/>
        </w:rPr>
        <w:t xml:space="preserve">, </w:t>
      </w:r>
      <w:r>
        <w:rPr>
          <w:rFonts w:cs="Arial"/>
          <w:sz w:val="24"/>
          <w:szCs w:val="24"/>
        </w:rPr>
        <w:t>19</w:t>
      </w:r>
      <w:r w:rsidR="009603CC" w:rsidRPr="009603CC">
        <w:rPr>
          <w:rFonts w:cs="Arial"/>
          <w:sz w:val="24"/>
          <w:szCs w:val="24"/>
          <w:vertAlign w:val="superscript"/>
        </w:rPr>
        <w:t>th</w:t>
      </w:r>
      <w:r w:rsidR="009603CC">
        <w:rPr>
          <w:rFonts w:cs="Arial"/>
          <w:sz w:val="24"/>
          <w:szCs w:val="24"/>
        </w:rPr>
        <w:t xml:space="preserve"> </w:t>
      </w:r>
      <w:r w:rsidR="0011347F">
        <w:rPr>
          <w:rFonts w:cs="Arial"/>
          <w:sz w:val="24"/>
          <w:szCs w:val="24"/>
        </w:rPr>
        <w:t xml:space="preserve">– </w:t>
      </w:r>
      <w:r w:rsidR="00DF2AA1">
        <w:rPr>
          <w:rFonts w:cs="Arial"/>
          <w:sz w:val="24"/>
          <w:szCs w:val="24"/>
        </w:rPr>
        <w:t>2</w:t>
      </w:r>
      <w:r>
        <w:rPr>
          <w:rFonts w:cs="Arial"/>
          <w:sz w:val="24"/>
          <w:szCs w:val="24"/>
        </w:rPr>
        <w:t>3</w:t>
      </w:r>
      <w:r w:rsidRPr="00955E3D">
        <w:rPr>
          <w:rFonts w:cs="Arial"/>
          <w:sz w:val="24"/>
          <w:szCs w:val="24"/>
          <w:vertAlign w:val="superscript"/>
        </w:rPr>
        <w:t>rd</w:t>
      </w:r>
      <w:r>
        <w:rPr>
          <w:rFonts w:cs="Arial"/>
          <w:sz w:val="24"/>
          <w:szCs w:val="24"/>
        </w:rPr>
        <w:t xml:space="preserve"> August</w:t>
      </w:r>
      <w:r w:rsidR="0011347F" w:rsidRPr="00AE32FA">
        <w:rPr>
          <w:rFonts w:cs="Arial"/>
          <w:sz w:val="24"/>
          <w:szCs w:val="24"/>
        </w:rPr>
        <w:t xml:space="preserve"> 202</w:t>
      </w:r>
      <w:r w:rsidR="00F07B5F">
        <w:rPr>
          <w:rFonts w:cs="Arial"/>
          <w:sz w:val="24"/>
          <w:szCs w:val="24"/>
        </w:rPr>
        <w:t>4</w:t>
      </w:r>
    </w:p>
    <w:p w14:paraId="2EC6AC2A" w14:textId="77777777" w:rsidR="00F01182" w:rsidRPr="00AB081E" w:rsidRDefault="00F01182" w:rsidP="00F01182">
      <w:pPr>
        <w:tabs>
          <w:tab w:val="left" w:pos="1985"/>
        </w:tabs>
        <w:spacing w:before="0" w:after="0"/>
        <w:ind w:left="1975" w:hangingChars="823" w:hanging="1975"/>
        <w:jc w:val="both"/>
        <w:rPr>
          <w:rFonts w:ascii="Arial" w:hAnsi="Arial" w:cs="Arial"/>
          <w:sz w:val="24"/>
          <w:highlight w:val="yellow"/>
          <w:lang w:val="en-US"/>
        </w:rPr>
      </w:pPr>
    </w:p>
    <w:p w14:paraId="16C79B08" w14:textId="76F13D08"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Agenda item:</w:t>
      </w:r>
      <w:r w:rsidRPr="00AB081E">
        <w:rPr>
          <w:rFonts w:ascii="Arial" w:hAnsi="Arial" w:cs="Arial"/>
          <w:b/>
          <w:sz w:val="24"/>
        </w:rPr>
        <w:tab/>
      </w:r>
      <w:bookmarkStart w:id="0" w:name="Source"/>
      <w:bookmarkEnd w:id="0"/>
      <w:r w:rsidR="00187BAF">
        <w:rPr>
          <w:rFonts w:ascii="Arial" w:hAnsi="Arial" w:cs="Arial"/>
          <w:b/>
          <w:sz w:val="24"/>
        </w:rPr>
        <w:t>8.15.2.2</w:t>
      </w:r>
    </w:p>
    <w:p w14:paraId="0293383C" w14:textId="77777777" w:rsidR="00F01182" w:rsidRPr="00AB081E" w:rsidRDefault="00F01182" w:rsidP="00F01182">
      <w:pPr>
        <w:tabs>
          <w:tab w:val="left" w:pos="1985"/>
        </w:tabs>
        <w:spacing w:before="0"/>
        <w:ind w:left="1985" w:hanging="1985"/>
        <w:jc w:val="both"/>
        <w:rPr>
          <w:rFonts w:ascii="Arial" w:hAnsi="Arial" w:cs="Arial"/>
          <w:sz w:val="24"/>
        </w:rPr>
      </w:pPr>
      <w:r w:rsidRPr="00AB081E">
        <w:rPr>
          <w:rFonts w:ascii="Arial" w:hAnsi="Arial" w:cs="Arial"/>
          <w:b/>
          <w:sz w:val="24"/>
        </w:rPr>
        <w:t>Source:</w:t>
      </w:r>
      <w:r w:rsidRPr="00AB081E">
        <w:rPr>
          <w:rFonts w:ascii="Arial" w:hAnsi="Arial" w:cs="Arial"/>
          <w:b/>
          <w:sz w:val="24"/>
        </w:rPr>
        <w:tab/>
        <w:t>Intel Corporation</w:t>
      </w:r>
    </w:p>
    <w:p w14:paraId="64E0FD5B" w14:textId="644158FF"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Title:</w:t>
      </w:r>
      <w:r w:rsidRPr="00AB081E">
        <w:rPr>
          <w:rFonts w:ascii="Arial" w:hAnsi="Arial" w:cs="Arial"/>
          <w:b/>
          <w:sz w:val="24"/>
        </w:rPr>
        <w:tab/>
      </w:r>
      <w:r w:rsidR="00955E3D" w:rsidRPr="00955E3D">
        <w:rPr>
          <w:rFonts w:ascii="Arial" w:hAnsi="Arial" w:cs="Arial"/>
          <w:b/>
          <w:sz w:val="24"/>
        </w:rPr>
        <w:t xml:space="preserve">Discussion on delay reduction by optimizing </w:t>
      </w:r>
      <w:r w:rsidR="00C17D39">
        <w:rPr>
          <w:rFonts w:ascii="Arial" w:hAnsi="Arial" w:cs="Arial"/>
          <w:b/>
          <w:sz w:val="24"/>
        </w:rPr>
        <w:t>CSSF outside gap</w:t>
      </w:r>
    </w:p>
    <w:p w14:paraId="266488AB" w14:textId="77777777"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Document for:</w:t>
      </w:r>
      <w:r w:rsidRPr="00AB081E">
        <w:rPr>
          <w:rFonts w:ascii="Arial" w:hAnsi="Arial" w:cs="Arial"/>
          <w:b/>
          <w:sz w:val="24"/>
        </w:rPr>
        <w:tab/>
      </w:r>
      <w:bookmarkStart w:id="1" w:name="DocumentFor"/>
      <w:bookmarkEnd w:id="1"/>
      <w:r w:rsidRPr="00AB081E">
        <w:rPr>
          <w:rFonts w:ascii="Arial" w:hAnsi="Arial" w:cs="Arial"/>
          <w:b/>
          <w:sz w:val="24"/>
        </w:rPr>
        <w:t>Discussion</w:t>
      </w:r>
    </w:p>
    <w:p w14:paraId="79DBD538" w14:textId="77777777" w:rsidR="00F01182" w:rsidRPr="00146B4F" w:rsidRDefault="00F01182" w:rsidP="00F01182">
      <w:pPr>
        <w:pStyle w:val="Heading1"/>
      </w:pPr>
      <w:r w:rsidRPr="00146B4F">
        <w:t>Introduction</w:t>
      </w:r>
    </w:p>
    <w:p w14:paraId="2EDADAB0" w14:textId="465BD59A" w:rsidR="0083619D" w:rsidRDefault="0083619D" w:rsidP="00E62411">
      <w:r>
        <w:t>The Rel-19 NR RRM enhancements work item was approved in March 2024 in [1]. The work item descriptions of objectives of the item are shown in the below box.</w:t>
      </w:r>
    </w:p>
    <w:tbl>
      <w:tblPr>
        <w:tblStyle w:val="TableGrid"/>
        <w:tblW w:w="0" w:type="auto"/>
        <w:tblLook w:val="04A0" w:firstRow="1" w:lastRow="0" w:firstColumn="1" w:lastColumn="0" w:noHBand="0" w:noVBand="1"/>
      </w:tblPr>
      <w:tblGrid>
        <w:gridCol w:w="9621"/>
      </w:tblGrid>
      <w:tr w:rsidR="0083619D" w14:paraId="4F499523" w14:textId="77777777" w:rsidTr="0083619D">
        <w:tc>
          <w:tcPr>
            <w:tcW w:w="9621" w:type="dxa"/>
          </w:tcPr>
          <w:p w14:paraId="4F06AA32" w14:textId="77777777" w:rsidR="0083619D" w:rsidRDefault="0083619D" w:rsidP="0083619D">
            <w:pPr>
              <w:pStyle w:val="ListParagraph"/>
              <w:numPr>
                <w:ilvl w:val="0"/>
                <w:numId w:val="40"/>
              </w:numPr>
              <w:spacing w:before="0"/>
              <w:jc w:val="both"/>
              <w:textAlignment w:val="auto"/>
              <w:rPr>
                <w:lang w:val="en-US"/>
              </w:rPr>
            </w:pPr>
            <w:r>
              <w:t>FR2-1 SSB based L3 measurement delay reduction for connected mode</w:t>
            </w:r>
          </w:p>
          <w:p w14:paraId="4DBC1C7A" w14:textId="77777777" w:rsidR="0083619D" w:rsidRDefault="0083619D" w:rsidP="0083619D">
            <w:pPr>
              <w:numPr>
                <w:ilvl w:val="1"/>
                <w:numId w:val="40"/>
              </w:numPr>
              <w:spacing w:before="0"/>
              <w:textAlignment w:val="auto"/>
              <w:rPr>
                <w:lang w:val="en-US"/>
              </w:rPr>
            </w:pPr>
            <w:r>
              <w:rPr>
                <w:lang w:val="en-US"/>
              </w:rPr>
              <w:t>For UE</w:t>
            </w:r>
            <w:r>
              <w:rPr>
                <w:lang w:val="en-US" w:eastAsia="zh-CN"/>
              </w:rPr>
              <w:t xml:space="preserve"> </w:t>
            </w:r>
            <w:r>
              <w:rPr>
                <w:rFonts w:eastAsia="DengXian"/>
                <w:lang w:val="en-US" w:eastAsia="zh-CN"/>
              </w:rPr>
              <w:t>supporting</w:t>
            </w:r>
            <w:r>
              <w:rPr>
                <w:lang w:val="en-US"/>
              </w:rPr>
              <w:t xml:space="preserve"> multiple-Rx simultaneous reception on single carrier: </w:t>
            </w:r>
          </w:p>
          <w:p w14:paraId="449D45C4" w14:textId="77777777" w:rsidR="0083619D" w:rsidRDefault="0083619D" w:rsidP="0083619D">
            <w:pPr>
              <w:numPr>
                <w:ilvl w:val="2"/>
                <w:numId w:val="40"/>
              </w:numPr>
              <w:spacing w:before="0"/>
              <w:textAlignment w:val="auto"/>
              <w:rPr>
                <w:lang w:val="en-US"/>
              </w:rPr>
            </w:pPr>
            <w:r>
              <w:rPr>
                <w:lang w:val="en-US"/>
              </w:rPr>
              <w:t xml:space="preserve">Study </w:t>
            </w:r>
            <w:r>
              <w:rPr>
                <w:rFonts w:eastAsia="DengXian"/>
                <w:lang w:val="en-US" w:eastAsia="zh-CN"/>
              </w:rPr>
              <w:t xml:space="preserve">suitable scenarios and conditions </w:t>
            </w:r>
            <w:r>
              <w:rPr>
                <w:lang w:val="en-US"/>
              </w:rPr>
              <w:t xml:space="preserve">and, if feasible, </w:t>
            </w:r>
            <w:r>
              <w:rPr>
                <w:rFonts w:eastAsia="DengXian"/>
                <w:lang w:val="en-US" w:eastAsia="zh-CN"/>
              </w:rPr>
              <w:t xml:space="preserve">introduce methods to </w:t>
            </w:r>
            <w:r>
              <w:rPr>
                <w:lang w:val="en-US"/>
              </w:rPr>
              <w:t xml:space="preserve">reduce </w:t>
            </w:r>
            <w:r>
              <w:t>FR2-1 L3 measurement delay</w:t>
            </w:r>
            <w:r>
              <w:rPr>
                <w:lang w:val="en-US"/>
              </w:rPr>
              <w:t xml:space="preserve"> by optimizing:</w:t>
            </w:r>
          </w:p>
          <w:p w14:paraId="608A5B0D" w14:textId="77777777" w:rsidR="0083619D" w:rsidRDefault="0083619D" w:rsidP="0083619D">
            <w:pPr>
              <w:numPr>
                <w:ilvl w:val="3"/>
                <w:numId w:val="40"/>
              </w:numPr>
              <w:spacing w:before="0"/>
              <w:textAlignment w:val="auto"/>
              <w:rPr>
                <w:strike/>
                <w:lang w:val="en-US"/>
              </w:rPr>
            </w:pPr>
            <w:r>
              <w:rPr>
                <w:lang w:val="en-US"/>
              </w:rPr>
              <w:t>Rx beam sweeping f</w:t>
            </w:r>
            <w:r>
              <w:rPr>
                <w:lang w:val="en-US" w:eastAsia="zh-CN"/>
              </w:rPr>
              <w:t>actor</w:t>
            </w:r>
            <w:r>
              <w:rPr>
                <w:strike/>
                <w:lang w:val="en-US"/>
              </w:rPr>
              <w:t xml:space="preserve"> </w:t>
            </w:r>
          </w:p>
          <w:p w14:paraId="36D3DC50" w14:textId="77777777" w:rsidR="0083619D" w:rsidRDefault="0083619D" w:rsidP="0083619D">
            <w:pPr>
              <w:numPr>
                <w:ilvl w:val="1"/>
                <w:numId w:val="40"/>
              </w:numPr>
              <w:spacing w:before="0"/>
              <w:textAlignment w:val="auto"/>
              <w:rPr>
                <w:lang w:val="en-US"/>
              </w:rPr>
            </w:pPr>
            <w:r>
              <w:rPr>
                <w:rFonts w:ascii="Times" w:hAnsi="Times"/>
                <w:szCs w:val="24"/>
                <w:lang w:val="en-US"/>
              </w:rPr>
              <w:t>For</w:t>
            </w:r>
            <w:r>
              <w:rPr>
                <w:rFonts w:eastAsia="DengXian"/>
                <w:lang w:val="en-US" w:eastAsia="zh-CN"/>
              </w:rPr>
              <w:t xml:space="preserve"> </w:t>
            </w:r>
            <w:r>
              <w:rPr>
                <w:rFonts w:ascii="Times" w:hAnsi="Times"/>
                <w:szCs w:val="24"/>
                <w:lang w:val="en-US"/>
              </w:rPr>
              <w:t xml:space="preserve">UE </w:t>
            </w:r>
            <w:r>
              <w:rPr>
                <w:rFonts w:eastAsia="DengXian"/>
                <w:lang w:val="en-US" w:eastAsia="zh-CN"/>
              </w:rPr>
              <w:t xml:space="preserve">not in </w:t>
            </w:r>
            <w:r>
              <w:rPr>
                <w:rFonts w:ascii="Times" w:hAnsi="Times"/>
                <w:szCs w:val="24"/>
                <w:lang w:val="en-US"/>
              </w:rPr>
              <w:t>multiple-Rx simultaneous reception mode:</w:t>
            </w:r>
          </w:p>
          <w:p w14:paraId="78B7B3B0" w14:textId="77777777" w:rsidR="0083619D" w:rsidRDefault="0083619D" w:rsidP="0083619D">
            <w:pPr>
              <w:numPr>
                <w:ilvl w:val="2"/>
                <w:numId w:val="40"/>
              </w:numPr>
              <w:spacing w:before="0"/>
              <w:textAlignment w:val="auto"/>
              <w:rPr>
                <w:lang w:val="en-US"/>
              </w:rPr>
            </w:pPr>
            <w:r>
              <w:rPr>
                <w:lang w:val="en-US"/>
              </w:rPr>
              <w:t xml:space="preserve">Study </w:t>
            </w:r>
            <w:r>
              <w:rPr>
                <w:rFonts w:eastAsia="DengXian"/>
                <w:lang w:val="en-US" w:eastAsia="zh-CN"/>
              </w:rPr>
              <w:t xml:space="preserve">suitable scenarios and conditions </w:t>
            </w:r>
            <w:r>
              <w:rPr>
                <w:lang w:val="en-US"/>
              </w:rPr>
              <w:t xml:space="preserve">and, if feasible, </w:t>
            </w:r>
            <w:r>
              <w:rPr>
                <w:rFonts w:eastAsia="DengXian"/>
                <w:lang w:val="en-US" w:eastAsia="zh-CN"/>
              </w:rPr>
              <w:t>introduce methods</w:t>
            </w:r>
            <w:r>
              <w:rPr>
                <w:lang w:val="en-US"/>
              </w:rPr>
              <w:t xml:space="preserve"> to reduce </w:t>
            </w:r>
            <w:r>
              <w:t>FR2-1 L3</w:t>
            </w:r>
            <w:r>
              <w:rPr>
                <w:rFonts w:eastAsia="DengXian"/>
                <w:lang w:eastAsia="zh-CN"/>
              </w:rPr>
              <w:t xml:space="preserve"> </w:t>
            </w:r>
            <w:r>
              <w:t>measurement delay</w:t>
            </w:r>
            <w:r>
              <w:rPr>
                <w:lang w:val="en-US"/>
              </w:rPr>
              <w:t xml:space="preserve"> by optimizing:</w:t>
            </w:r>
          </w:p>
          <w:p w14:paraId="3A7563D8" w14:textId="77777777" w:rsidR="0083619D" w:rsidRDefault="0083619D" w:rsidP="0083619D">
            <w:pPr>
              <w:numPr>
                <w:ilvl w:val="3"/>
                <w:numId w:val="40"/>
              </w:numPr>
              <w:spacing w:before="0"/>
              <w:textAlignment w:val="auto"/>
              <w:rPr>
                <w:rFonts w:eastAsia="Batang"/>
                <w:lang w:val="en-US"/>
              </w:rPr>
            </w:pPr>
            <w:r>
              <w:rPr>
                <w:rFonts w:eastAsia="DengXian"/>
                <w:lang w:val="en-US" w:eastAsia="zh-CN"/>
              </w:rPr>
              <w:t xml:space="preserve"> CSSF outside gap in CA/DC scenarios </w:t>
            </w:r>
          </w:p>
          <w:p w14:paraId="44842784" w14:textId="77777777" w:rsidR="0083619D" w:rsidRDefault="0083619D" w:rsidP="0083619D">
            <w:pPr>
              <w:numPr>
                <w:ilvl w:val="4"/>
                <w:numId w:val="41"/>
              </w:numPr>
              <w:spacing w:before="0"/>
              <w:textAlignment w:val="auto"/>
              <w:rPr>
                <w:rFonts w:eastAsia="Batang"/>
                <w:lang w:val="en-US" w:eastAsia="zh-CN"/>
              </w:rPr>
            </w:pPr>
            <w:r>
              <w:rPr>
                <w:rFonts w:eastAsia="DengXian"/>
                <w:lang w:val="en-US" w:eastAsia="zh-CN"/>
              </w:rPr>
              <w:t>Baseline assumption on number of searchers is 2</w:t>
            </w:r>
          </w:p>
          <w:p w14:paraId="1CECC8D3" w14:textId="77777777" w:rsidR="0083619D" w:rsidRDefault="0083619D" w:rsidP="0083619D">
            <w:pPr>
              <w:numPr>
                <w:ilvl w:val="0"/>
                <w:numId w:val="40"/>
              </w:numPr>
              <w:spacing w:before="0"/>
              <w:textAlignment w:val="auto"/>
              <w:rPr>
                <w:lang w:val="en-US" w:eastAsia="en-GB"/>
              </w:rPr>
            </w:pPr>
            <w:r>
              <w:rPr>
                <w:lang w:eastAsia="zh-TW"/>
              </w:rPr>
              <w:t xml:space="preserve">Fast SCell activation </w:t>
            </w:r>
            <w:r>
              <w:rPr>
                <w:rFonts w:eastAsia="DengXian"/>
                <w:lang w:eastAsia="zh-CN"/>
              </w:rPr>
              <w:t xml:space="preserve">for UE supporting Rel-18 EMR </w:t>
            </w:r>
          </w:p>
          <w:p w14:paraId="42E10046" w14:textId="77777777" w:rsidR="0083619D" w:rsidRDefault="0083619D" w:rsidP="0083619D">
            <w:pPr>
              <w:pStyle w:val="ListParagraph"/>
              <w:numPr>
                <w:ilvl w:val="1"/>
                <w:numId w:val="40"/>
              </w:numPr>
              <w:spacing w:before="0"/>
              <w:jc w:val="both"/>
              <w:textAlignment w:val="auto"/>
              <w:rPr>
                <w:lang w:val="en-US"/>
              </w:rPr>
            </w:pPr>
            <w:r>
              <w:rPr>
                <w:lang w:val="en-US"/>
              </w:rPr>
              <w:t xml:space="preserve">Study and, if feasible, to reduce the SCell activation delay with </w:t>
            </w:r>
            <w:r>
              <w:rPr>
                <w:rFonts w:eastAsia="DengXian"/>
                <w:lang w:val="en-US" w:eastAsia="zh-CN"/>
              </w:rPr>
              <w:t xml:space="preserve">valid </w:t>
            </w:r>
            <w:r>
              <w:rPr>
                <w:lang w:val="en-US"/>
              </w:rPr>
              <w:t>EMR reporting</w:t>
            </w:r>
            <w:r>
              <w:t xml:space="preserve"> </w:t>
            </w:r>
          </w:p>
          <w:p w14:paraId="4CD44B0E" w14:textId="77777777" w:rsidR="0083619D" w:rsidRDefault="0083619D" w:rsidP="0083619D">
            <w:pPr>
              <w:pStyle w:val="ListParagraph"/>
              <w:numPr>
                <w:ilvl w:val="1"/>
                <w:numId w:val="40"/>
              </w:numPr>
              <w:spacing w:before="0"/>
              <w:jc w:val="both"/>
              <w:textAlignment w:val="auto"/>
              <w:rPr>
                <w:rFonts w:eastAsia="DengXian"/>
                <w:lang w:eastAsia="zh-CN"/>
              </w:rPr>
            </w:pPr>
            <w:r>
              <w:rPr>
                <w:rFonts w:eastAsia="DengXian"/>
                <w:lang w:eastAsia="zh-CN"/>
              </w:rPr>
              <w:t xml:space="preserve">Apply fast scell activation in FR1 and FR2-1 </w:t>
            </w:r>
          </w:p>
          <w:p w14:paraId="075038D2" w14:textId="77777777" w:rsidR="0083619D" w:rsidRDefault="0083619D" w:rsidP="0083619D">
            <w:pPr>
              <w:pStyle w:val="ListParagraph"/>
              <w:numPr>
                <w:ilvl w:val="1"/>
                <w:numId w:val="40"/>
              </w:numPr>
              <w:spacing w:before="0"/>
              <w:jc w:val="both"/>
              <w:textAlignment w:val="auto"/>
              <w:rPr>
                <w:rFonts w:eastAsia="DengXian"/>
                <w:lang w:eastAsia="zh-CN"/>
              </w:rPr>
            </w:pPr>
            <w:r>
              <w:rPr>
                <w:rFonts w:eastAsia="DengXian"/>
                <w:lang w:eastAsia="zh-CN"/>
              </w:rPr>
              <w:t>Note: RAN4 to start this work from Q3’2024 and aim for completion in Dec’2024. Workplan for this bullet can be discussed in May’2024</w:t>
            </w:r>
          </w:p>
          <w:p w14:paraId="50C5CCAB" w14:textId="77777777" w:rsidR="0083619D" w:rsidRDefault="0083619D" w:rsidP="00E62411"/>
        </w:tc>
      </w:tr>
    </w:tbl>
    <w:p w14:paraId="3C8968D4" w14:textId="1BFDB330" w:rsidR="008A1AEB" w:rsidRDefault="008A1AEB" w:rsidP="00E62411">
      <w:r>
        <w:t>In the last WG meeting, a WF was approved in [2] to capture all the discussions and agreements.</w:t>
      </w:r>
    </w:p>
    <w:p w14:paraId="783147C0" w14:textId="46B4C673" w:rsidR="00DC1448" w:rsidRDefault="00DC1448" w:rsidP="00E62411">
      <w:r>
        <w:t xml:space="preserve">In this paper we provide our </w:t>
      </w:r>
      <w:r w:rsidR="008A1AEB">
        <w:t>analysis on</w:t>
      </w:r>
      <w:r>
        <w:t xml:space="preserve"> </w:t>
      </w:r>
      <w:r w:rsidR="00BC6A97">
        <w:t xml:space="preserve">delay reduction by optimizing </w:t>
      </w:r>
      <w:r w:rsidR="00227BE1">
        <w:t>CSSF outside gap</w:t>
      </w:r>
      <w:r>
        <w:t>.</w:t>
      </w:r>
    </w:p>
    <w:p w14:paraId="7A73CE75" w14:textId="548A0372" w:rsidR="00EB6DB3" w:rsidRDefault="00EB6DB3" w:rsidP="006850C8">
      <w:pPr>
        <w:pStyle w:val="Heading1"/>
      </w:pPr>
      <w:r>
        <w:t>Discussion</w:t>
      </w:r>
    </w:p>
    <w:p w14:paraId="22B82B37" w14:textId="35CF7C0C" w:rsidR="00C10562" w:rsidRDefault="00F1391C" w:rsidP="00182B74">
      <w:pPr>
        <w:pStyle w:val="Heading2"/>
        <w:ind w:left="567"/>
      </w:pPr>
      <w:r>
        <w:t>CSSF outside gap in CA/DC operations</w:t>
      </w:r>
    </w:p>
    <w:p w14:paraId="3986444F" w14:textId="20CA492B" w:rsidR="00DA5F96" w:rsidRPr="000B2FF1" w:rsidRDefault="00DA5F96" w:rsidP="00182B74">
      <w:pPr>
        <w:rPr>
          <w:b/>
          <w:bCs/>
          <w:i/>
          <w:iCs/>
          <w:u w:val="single"/>
        </w:rPr>
      </w:pPr>
      <w:r>
        <w:rPr>
          <w:b/>
          <w:bCs/>
          <w:i/>
          <w:iCs/>
          <w:u w:val="single"/>
        </w:rPr>
        <w:t>Applicability</w:t>
      </w:r>
    </w:p>
    <w:p w14:paraId="5604B536" w14:textId="37BABD9E" w:rsidR="00DA5F96" w:rsidRDefault="00B2719B" w:rsidP="00182B74">
      <w:r>
        <w:t>One of the motivations to have this general enhancement for all FR2-1 UE CSSF outside gap is that the intra-band carriers in FR2 share the most similar characteristics as targets to SSB based L3 measurements. There is a consensus in RAN4 since Rel-15 that for FR2 target cells</w:t>
      </w:r>
      <w:r w:rsidR="00F67BE6">
        <w:t xml:space="preserve"> of a certain band</w:t>
      </w:r>
      <w:r>
        <w:t xml:space="preserve">, </w:t>
      </w:r>
      <w:r w:rsidR="00F67BE6">
        <w:t>the UE chooses target cells with</w:t>
      </w:r>
      <w:r w:rsidR="00EA7997">
        <w:t>in</w:t>
      </w:r>
      <w:r w:rsidR="00F67BE6">
        <w:t xml:space="preserve"> a single frequency layer for neighbour cell measurements</w:t>
      </w:r>
      <w:r>
        <w:t>.</w:t>
      </w:r>
      <w:r w:rsidR="00EA7997">
        <w:t xml:space="preserve"> This is specified in TS 38.133 clause 9.2.3.2.</w:t>
      </w:r>
    </w:p>
    <w:tbl>
      <w:tblPr>
        <w:tblStyle w:val="TableGrid"/>
        <w:tblW w:w="0" w:type="auto"/>
        <w:tblLook w:val="04A0" w:firstRow="1" w:lastRow="0" w:firstColumn="1" w:lastColumn="0" w:noHBand="0" w:noVBand="1"/>
      </w:tblPr>
      <w:tblGrid>
        <w:gridCol w:w="9621"/>
      </w:tblGrid>
      <w:tr w:rsidR="00852F61" w14:paraId="380241CE" w14:textId="77777777" w:rsidTr="00852F61">
        <w:tc>
          <w:tcPr>
            <w:tcW w:w="9621" w:type="dxa"/>
          </w:tcPr>
          <w:p w14:paraId="048B7325" w14:textId="77777777" w:rsidR="00852F61" w:rsidRPr="00852F61" w:rsidRDefault="00852F61" w:rsidP="00852F61">
            <w:r w:rsidRPr="00852F61">
              <w:t xml:space="preserve">For one single intra-frequency layer in a band, during each layer 1 measurement period, the UE shall be capable of performing </w:t>
            </w:r>
            <w:r w:rsidRPr="00852F61">
              <w:rPr>
                <w:rFonts w:cs="v4.2.0"/>
              </w:rPr>
              <w:t xml:space="preserve">SS-RSRP, SS-RSRQ, and SS-SINR measurements for </w:t>
            </w:r>
            <w:r w:rsidRPr="00852F61">
              <w:t>at least:</w:t>
            </w:r>
          </w:p>
          <w:p w14:paraId="74CD114E" w14:textId="77777777" w:rsidR="00852F61" w:rsidRPr="00852F61" w:rsidRDefault="00852F61" w:rsidP="00852F61">
            <w:pPr>
              <w:pStyle w:val="B1"/>
              <w:rPr>
                <w:sz w:val="20"/>
                <w:szCs w:val="20"/>
              </w:rPr>
            </w:pPr>
            <w:r w:rsidRPr="00852F61">
              <w:rPr>
                <w:sz w:val="20"/>
                <w:szCs w:val="20"/>
              </w:rPr>
              <w:t>-</w:t>
            </w:r>
            <w:r w:rsidRPr="00852F61">
              <w:rPr>
                <w:sz w:val="20"/>
                <w:szCs w:val="20"/>
              </w:rPr>
              <w:tab/>
              <w:t>6 identified cells, and</w:t>
            </w:r>
          </w:p>
          <w:p w14:paraId="7A1DC662" w14:textId="77777777" w:rsidR="00852F61" w:rsidRPr="00852F61" w:rsidRDefault="00852F61" w:rsidP="00852F61">
            <w:pPr>
              <w:pStyle w:val="B1"/>
              <w:rPr>
                <w:sz w:val="20"/>
                <w:szCs w:val="20"/>
              </w:rPr>
            </w:pPr>
            <w:r w:rsidRPr="00852F61">
              <w:rPr>
                <w:sz w:val="20"/>
                <w:szCs w:val="20"/>
              </w:rPr>
              <w:t>-</w:t>
            </w:r>
            <w:r w:rsidRPr="00852F61">
              <w:rPr>
                <w:sz w:val="20"/>
                <w:szCs w:val="20"/>
              </w:rPr>
              <w:tab/>
              <w:t>24 SSBs with different SSB index and/or PCI,</w:t>
            </w:r>
          </w:p>
          <w:p w14:paraId="635090EA" w14:textId="77777777" w:rsidR="00852F61" w:rsidRPr="00852F61" w:rsidRDefault="00852F61" w:rsidP="00852F61">
            <w:r w:rsidRPr="00852F61">
              <w:lastRenderedPageBreak/>
              <w:t>where this single intra-frequency layer shall be:</w:t>
            </w:r>
          </w:p>
          <w:p w14:paraId="24D44FD4" w14:textId="77777777" w:rsidR="00852F61" w:rsidRPr="00852F61" w:rsidRDefault="00852F61" w:rsidP="00852F61">
            <w:pPr>
              <w:pStyle w:val="B1"/>
              <w:rPr>
                <w:sz w:val="20"/>
                <w:szCs w:val="20"/>
                <w:lang w:eastAsia="zh-CN"/>
              </w:rPr>
            </w:pPr>
            <w:r w:rsidRPr="00852F61">
              <w:rPr>
                <w:sz w:val="20"/>
                <w:szCs w:val="20"/>
              </w:rPr>
              <w:t>-</w:t>
            </w:r>
            <w:r w:rsidRPr="00852F61">
              <w:rPr>
                <w:sz w:val="20"/>
                <w:szCs w:val="20"/>
              </w:rPr>
              <w:tab/>
              <w:t>PCC</w:t>
            </w:r>
            <w:r w:rsidRPr="00852F61">
              <w:rPr>
                <w:sz w:val="20"/>
                <w:szCs w:val="20"/>
                <w:lang w:eastAsia="zh-CN"/>
              </w:rPr>
              <w:t xml:space="preserve"> when UE is configured with SA NR operation mode with PCC in the band; or</w:t>
            </w:r>
          </w:p>
          <w:p w14:paraId="0007444C" w14:textId="77777777" w:rsidR="00852F61" w:rsidRPr="00852F61" w:rsidRDefault="00852F61" w:rsidP="00852F61">
            <w:pPr>
              <w:pStyle w:val="B1"/>
              <w:rPr>
                <w:sz w:val="20"/>
                <w:szCs w:val="20"/>
                <w:lang w:eastAsia="zh-CN"/>
              </w:rPr>
            </w:pPr>
            <w:r w:rsidRPr="00852F61">
              <w:rPr>
                <w:sz w:val="20"/>
                <w:szCs w:val="20"/>
              </w:rPr>
              <w:t>-</w:t>
            </w:r>
            <w:r w:rsidRPr="00852F61">
              <w:rPr>
                <w:sz w:val="20"/>
                <w:szCs w:val="20"/>
              </w:rPr>
              <w:tab/>
              <w:t>PSCC</w:t>
            </w:r>
            <w:r w:rsidRPr="00852F61">
              <w:rPr>
                <w:sz w:val="20"/>
                <w:szCs w:val="20"/>
                <w:lang w:eastAsia="zh-CN"/>
              </w:rPr>
              <w:t xml:space="preserve"> when UE is configured with EN-DC with PSCC in the band; or</w:t>
            </w:r>
          </w:p>
          <w:p w14:paraId="31D3C7A4" w14:textId="77777777" w:rsidR="00852F61" w:rsidRPr="00852F61" w:rsidRDefault="00852F61" w:rsidP="00852F61">
            <w:pPr>
              <w:pStyle w:val="B1"/>
              <w:rPr>
                <w:sz w:val="20"/>
                <w:szCs w:val="20"/>
                <w:lang w:eastAsia="zh-CN"/>
              </w:rPr>
            </w:pPr>
            <w:r w:rsidRPr="00852F61">
              <w:rPr>
                <w:sz w:val="20"/>
                <w:szCs w:val="20"/>
              </w:rPr>
              <w:t>-</w:t>
            </w:r>
            <w:r w:rsidRPr="00852F61">
              <w:rPr>
                <w:sz w:val="20"/>
                <w:szCs w:val="20"/>
              </w:rPr>
              <w:tab/>
              <w:t>PSCC</w:t>
            </w:r>
            <w:r w:rsidRPr="00852F61">
              <w:rPr>
                <w:sz w:val="20"/>
                <w:szCs w:val="20"/>
                <w:lang w:eastAsia="zh-CN"/>
              </w:rPr>
              <w:t xml:space="preserve"> when UE is configured with NR-DC with PSCC in the band; or</w:t>
            </w:r>
          </w:p>
          <w:p w14:paraId="249EA29E" w14:textId="77777777" w:rsidR="00852F61" w:rsidRPr="00852F61" w:rsidRDefault="00852F61" w:rsidP="00852F61">
            <w:pPr>
              <w:pStyle w:val="B1"/>
              <w:rPr>
                <w:sz w:val="20"/>
                <w:szCs w:val="20"/>
              </w:rPr>
            </w:pPr>
            <w:r w:rsidRPr="00852F61">
              <w:rPr>
                <w:sz w:val="20"/>
                <w:szCs w:val="20"/>
              </w:rPr>
              <w:t>-</w:t>
            </w:r>
            <w:r w:rsidRPr="00852F61">
              <w:rPr>
                <w:sz w:val="20"/>
                <w:szCs w:val="20"/>
              </w:rPr>
              <w:tab/>
            </w:r>
            <w:r w:rsidRPr="00852F61">
              <w:rPr>
                <w:sz w:val="20"/>
                <w:szCs w:val="20"/>
                <w:highlight w:val="yellow"/>
              </w:rPr>
              <w:t>One of the SCCs on which UE is configured to report SSB based measurements when neither PCC nor PSCC is in the same band, so that the selected SCC shall be an SCC where the UE is configured with SS-RSRP measurement reporting if such SCC exists,</w:t>
            </w:r>
            <w:r w:rsidRPr="00852F61">
              <w:rPr>
                <w:sz w:val="20"/>
                <w:szCs w:val="20"/>
              </w:rPr>
              <w:t xml:space="preserve"> otherwise the selected SCC is determined by UE implementation.</w:t>
            </w:r>
          </w:p>
          <w:p w14:paraId="48DF4260" w14:textId="5880CBCC" w:rsidR="00852F61" w:rsidRPr="00852F61" w:rsidRDefault="00852F61" w:rsidP="00182B74">
            <w:r w:rsidRPr="00852F61">
              <w:t xml:space="preserve">The UE shall also be capable of performing </w:t>
            </w:r>
            <w:r w:rsidRPr="00852F61">
              <w:rPr>
                <w:rFonts w:cs="v4.2.0"/>
              </w:rPr>
              <w:t>SS-RSRP, SS-RSRQ, and SS-SINR measurements</w:t>
            </w:r>
            <w:r w:rsidRPr="00852F61">
              <w:t xml:space="preserve"> for at least 2 SSBs on serving cell for each of the other intra-frequency layer(s) in the same band.</w:t>
            </w:r>
          </w:p>
        </w:tc>
      </w:tr>
    </w:tbl>
    <w:p w14:paraId="6D744AC8" w14:textId="76F58867" w:rsidR="00B2719B" w:rsidRDefault="00B2719B" w:rsidP="00182B74">
      <w:r>
        <w:lastRenderedPageBreak/>
        <w:t>Based on this consensus, for FR2 measurements, there seems no need to scale the measurement delay by number of carrier</w:t>
      </w:r>
      <w:r w:rsidR="00105F8F">
        <w:t>s</w:t>
      </w:r>
      <w:r>
        <w:t xml:space="preserve"> within the same band</w:t>
      </w:r>
      <w:r w:rsidR="00EA7997">
        <w:t xml:space="preserve"> for each serving SCC</w:t>
      </w:r>
      <w:r>
        <w:t xml:space="preserve">. The UE measures on one carrier of a band in FR2 and all other carriers in the band is considered as known and measured. The measurement results can be shared among all the </w:t>
      </w:r>
      <w:r w:rsidR="00180CFE">
        <w:t xml:space="preserve">intra-band </w:t>
      </w:r>
      <w:r>
        <w:t>carriers.</w:t>
      </w:r>
      <w:r w:rsidR="00B46FBD">
        <w:t xml:space="preserve"> Note that t</w:t>
      </w:r>
      <w:r>
        <w:t xml:space="preserve">here are indeed preconditions for this enhancement to apply to the </w:t>
      </w:r>
      <w:r w:rsidR="003D6211">
        <w:t>existing</w:t>
      </w:r>
      <w:r>
        <w:t xml:space="preserve"> requirements for FR2-1 SSB based L3 measurement delay.</w:t>
      </w:r>
    </w:p>
    <w:p w14:paraId="0ABAB803" w14:textId="54CEEEF3" w:rsidR="00EA7997" w:rsidRPr="007A0A95" w:rsidRDefault="00EA7997" w:rsidP="00182B74">
      <w:pPr>
        <w:rPr>
          <w:b/>
          <w:bCs/>
          <w:i/>
          <w:iCs/>
          <w:u w:val="single"/>
        </w:rPr>
      </w:pPr>
      <w:r w:rsidRPr="007A0A95">
        <w:rPr>
          <w:b/>
          <w:bCs/>
          <w:i/>
          <w:iCs/>
          <w:u w:val="single"/>
        </w:rPr>
        <w:t>CSSF outside gap for FR2 CA</w:t>
      </w:r>
    </w:p>
    <w:p w14:paraId="3C1B0D1A" w14:textId="14D147CF" w:rsidR="00EA7997" w:rsidRDefault="00EA7997" w:rsidP="00182B74">
      <w:r>
        <w:t>CSSF outside gap for FR2 CA is specified in TS 38.133 Table 9.1.5.1.2-1.</w:t>
      </w:r>
      <w:r w:rsidR="009C791A">
        <w:t xml:space="preserve"> Since only SSB is considered in this work item scope we eliminate the factors for other reference signals</w:t>
      </w:r>
      <w:r w:rsidR="007F7EE1">
        <w:t xml:space="preserve"> and measurements</w:t>
      </w:r>
      <w:r w:rsidR="009C791A">
        <w:t xml:space="preserve"> and translate the table into the below one.</w:t>
      </w:r>
      <w:r w:rsidR="007F7EE1">
        <w:t xml:space="preserve"> Of all the highlighted parts, the measurement delay is scaled by N</w:t>
      </w:r>
      <w:r w:rsidR="00B46FBD">
        <w:t>_(</w:t>
      </w:r>
      <w:r w:rsidR="007F7EE1">
        <w:t>SCC_SSB</w:t>
      </w:r>
      <w:r w:rsidR="00B46FBD">
        <w:t>)</w:t>
      </w:r>
      <w:r w:rsidR="007F7EE1">
        <w:t xml:space="preserve"> which is the number of configured SCells with SSB based L3 measurements without gap. </w:t>
      </w:r>
    </w:p>
    <w:tbl>
      <w:tblPr>
        <w:tblW w:w="8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2"/>
        <w:gridCol w:w="1416"/>
        <w:gridCol w:w="1417"/>
        <w:gridCol w:w="1416"/>
        <w:gridCol w:w="1367"/>
        <w:gridCol w:w="1367"/>
      </w:tblGrid>
      <w:tr w:rsidR="00EA7997" w14:paraId="72E6EF11" w14:textId="77777777" w:rsidTr="00EA7997">
        <w:trPr>
          <w:trHeight w:val="340"/>
          <w:jc w:val="center"/>
        </w:trPr>
        <w:tc>
          <w:tcPr>
            <w:tcW w:w="1482" w:type="dxa"/>
            <w:tcBorders>
              <w:top w:val="single" w:sz="4" w:space="0" w:color="auto"/>
              <w:left w:val="single" w:sz="4" w:space="0" w:color="auto"/>
              <w:bottom w:val="single" w:sz="4" w:space="0" w:color="auto"/>
              <w:right w:val="single" w:sz="4" w:space="0" w:color="auto"/>
            </w:tcBorders>
            <w:hideMark/>
          </w:tcPr>
          <w:p w14:paraId="473CF216" w14:textId="77777777" w:rsidR="00EA7997" w:rsidRDefault="00EA7997">
            <w:pPr>
              <w:pStyle w:val="TAH"/>
              <w:rPr>
                <w:lang w:eastAsia="zh-CN"/>
              </w:rPr>
            </w:pPr>
            <w:r>
              <w:t>Scenario</w:t>
            </w:r>
          </w:p>
        </w:tc>
        <w:tc>
          <w:tcPr>
            <w:tcW w:w="1416" w:type="dxa"/>
            <w:tcBorders>
              <w:top w:val="single" w:sz="4" w:space="0" w:color="auto"/>
              <w:left w:val="single" w:sz="4" w:space="0" w:color="auto"/>
              <w:bottom w:val="single" w:sz="4" w:space="0" w:color="auto"/>
              <w:right w:val="single" w:sz="4" w:space="0" w:color="auto"/>
            </w:tcBorders>
            <w:hideMark/>
          </w:tcPr>
          <w:p w14:paraId="12528B30" w14:textId="77777777" w:rsidR="00EA7997" w:rsidRDefault="00EA7997">
            <w:pPr>
              <w:pStyle w:val="TAH"/>
            </w:pPr>
            <w:r>
              <w:rPr>
                <w:i/>
              </w:rPr>
              <w:t>CSSF</w:t>
            </w:r>
            <w:r>
              <w:rPr>
                <w:vertAlign w:val="subscript"/>
              </w:rPr>
              <w:t>outside_</w:t>
            </w:r>
            <w:proofErr w:type="gramStart"/>
            <w:r>
              <w:rPr>
                <w:vertAlign w:val="subscript"/>
              </w:rPr>
              <w:t>gap,i</w:t>
            </w:r>
            <w:proofErr w:type="gramEnd"/>
            <w:r>
              <w:t xml:space="preserve"> for FR2 PCC</w:t>
            </w:r>
          </w:p>
        </w:tc>
        <w:tc>
          <w:tcPr>
            <w:tcW w:w="1417" w:type="dxa"/>
            <w:tcBorders>
              <w:top w:val="single" w:sz="4" w:space="0" w:color="auto"/>
              <w:left w:val="single" w:sz="4" w:space="0" w:color="auto"/>
              <w:bottom w:val="single" w:sz="4" w:space="0" w:color="auto"/>
              <w:right w:val="single" w:sz="4" w:space="0" w:color="auto"/>
            </w:tcBorders>
            <w:hideMark/>
          </w:tcPr>
          <w:p w14:paraId="03B260FF" w14:textId="77777777" w:rsidR="00EA7997" w:rsidRDefault="00EA7997">
            <w:pPr>
              <w:pStyle w:val="TAH"/>
              <w:rPr>
                <w:i/>
              </w:rPr>
            </w:pPr>
            <w:r>
              <w:rPr>
                <w:i/>
              </w:rPr>
              <w:t>CSSF</w:t>
            </w:r>
            <w:r>
              <w:rPr>
                <w:vertAlign w:val="subscript"/>
              </w:rPr>
              <w:t>outside_</w:t>
            </w:r>
            <w:proofErr w:type="gramStart"/>
            <w:r>
              <w:rPr>
                <w:vertAlign w:val="subscript"/>
              </w:rPr>
              <w:t>gap,i</w:t>
            </w:r>
            <w:proofErr w:type="gramEnd"/>
            <w:r>
              <w:t xml:space="preserve"> for FR2 SCC where neighbour cell measurement is required</w:t>
            </w:r>
          </w:p>
        </w:tc>
        <w:tc>
          <w:tcPr>
            <w:tcW w:w="1416" w:type="dxa"/>
            <w:tcBorders>
              <w:top w:val="single" w:sz="4" w:space="0" w:color="auto"/>
              <w:left w:val="single" w:sz="4" w:space="0" w:color="auto"/>
              <w:bottom w:val="single" w:sz="4" w:space="0" w:color="auto"/>
              <w:right w:val="single" w:sz="4" w:space="0" w:color="auto"/>
            </w:tcBorders>
            <w:hideMark/>
          </w:tcPr>
          <w:p w14:paraId="6D3FBEB9" w14:textId="77777777" w:rsidR="00EA7997" w:rsidRDefault="00EA7997">
            <w:pPr>
              <w:pStyle w:val="TAH"/>
            </w:pPr>
            <w:r>
              <w:rPr>
                <w:i/>
              </w:rPr>
              <w:t>CSSF</w:t>
            </w:r>
            <w:r>
              <w:t xml:space="preserve"> </w:t>
            </w:r>
            <w:r>
              <w:rPr>
                <w:vertAlign w:val="subscript"/>
              </w:rPr>
              <w:t>outside_</w:t>
            </w:r>
            <w:proofErr w:type="gramStart"/>
            <w:r>
              <w:rPr>
                <w:vertAlign w:val="subscript"/>
              </w:rPr>
              <w:t>gap,i</w:t>
            </w:r>
            <w:proofErr w:type="gramEnd"/>
            <w:r>
              <w:t xml:space="preserve"> for FR2 SCC where neighbour cell measurement is not required</w:t>
            </w:r>
          </w:p>
        </w:tc>
        <w:tc>
          <w:tcPr>
            <w:tcW w:w="1367" w:type="dxa"/>
            <w:tcBorders>
              <w:top w:val="single" w:sz="4" w:space="0" w:color="auto"/>
              <w:left w:val="single" w:sz="4" w:space="0" w:color="auto"/>
              <w:bottom w:val="single" w:sz="4" w:space="0" w:color="auto"/>
              <w:right w:val="single" w:sz="4" w:space="0" w:color="auto"/>
            </w:tcBorders>
            <w:hideMark/>
          </w:tcPr>
          <w:p w14:paraId="41849FDD" w14:textId="77777777" w:rsidR="00EA7997" w:rsidRDefault="00EA7997">
            <w:pPr>
              <w:pStyle w:val="TAH"/>
              <w:rPr>
                <w:i/>
              </w:rPr>
            </w:pPr>
            <w:r>
              <w:rPr>
                <w:i/>
              </w:rPr>
              <w:t>CSSF</w:t>
            </w:r>
            <w:r>
              <w:rPr>
                <w:vertAlign w:val="subscript"/>
              </w:rPr>
              <w:t>outside_</w:t>
            </w:r>
            <w:proofErr w:type="gramStart"/>
            <w:r>
              <w:rPr>
                <w:vertAlign w:val="subscript"/>
              </w:rPr>
              <w:t>gap,i</w:t>
            </w:r>
            <w:proofErr w:type="gramEnd"/>
            <w:r>
              <w:t xml:space="preserve"> for inter-frequency MO with no measurement gap</w:t>
            </w:r>
          </w:p>
        </w:tc>
        <w:tc>
          <w:tcPr>
            <w:tcW w:w="1367" w:type="dxa"/>
            <w:tcBorders>
              <w:top w:val="single" w:sz="4" w:space="0" w:color="auto"/>
              <w:left w:val="single" w:sz="4" w:space="0" w:color="auto"/>
              <w:bottom w:val="single" w:sz="4" w:space="0" w:color="auto"/>
              <w:right w:val="single" w:sz="4" w:space="0" w:color="auto"/>
            </w:tcBorders>
            <w:hideMark/>
          </w:tcPr>
          <w:p w14:paraId="17F5C76A" w14:textId="77777777" w:rsidR="00EA7997" w:rsidRDefault="00EA7997">
            <w:pPr>
              <w:pStyle w:val="TAH"/>
            </w:pPr>
            <w:r>
              <w:rPr>
                <w:i/>
              </w:rPr>
              <w:t>CSSF</w:t>
            </w:r>
            <w:r>
              <w:rPr>
                <w:vertAlign w:val="subscript"/>
              </w:rPr>
              <w:t>outside_</w:t>
            </w:r>
            <w:proofErr w:type="gramStart"/>
            <w:r>
              <w:rPr>
                <w:vertAlign w:val="subscript"/>
              </w:rPr>
              <w:t>gap,i</w:t>
            </w:r>
            <w:proofErr w:type="gramEnd"/>
            <w:r>
              <w:t xml:space="preserve"> for E-UTRA </w:t>
            </w:r>
            <w:r>
              <w:rPr>
                <w:lang w:eastAsia="zh-CN"/>
              </w:rPr>
              <w:t>inter</w:t>
            </w:r>
            <w:r>
              <w:t>-RAT MO with no measurement gap</w:t>
            </w:r>
          </w:p>
          <w:p w14:paraId="4AEFF716" w14:textId="77777777" w:rsidR="00EA7997" w:rsidRDefault="00EA7997">
            <w:pPr>
              <w:pStyle w:val="TAH"/>
              <w:rPr>
                <w:i/>
              </w:rPr>
            </w:pPr>
            <w:r>
              <w:t>[TBD]</w:t>
            </w:r>
          </w:p>
        </w:tc>
      </w:tr>
      <w:tr w:rsidR="00EA7997" w14:paraId="2E33F7E9" w14:textId="77777777" w:rsidTr="00504023">
        <w:trPr>
          <w:trHeight w:val="340"/>
          <w:jc w:val="center"/>
        </w:trPr>
        <w:tc>
          <w:tcPr>
            <w:tcW w:w="1482" w:type="dxa"/>
            <w:tcBorders>
              <w:top w:val="single" w:sz="4" w:space="0" w:color="auto"/>
              <w:left w:val="single" w:sz="4" w:space="0" w:color="auto"/>
              <w:bottom w:val="single" w:sz="4" w:space="0" w:color="auto"/>
              <w:right w:val="single" w:sz="4" w:space="0" w:color="auto"/>
            </w:tcBorders>
            <w:hideMark/>
          </w:tcPr>
          <w:p w14:paraId="01A01093" w14:textId="77777777" w:rsidR="00EA7997" w:rsidRDefault="00EA7997">
            <w:pPr>
              <w:pStyle w:val="TAL"/>
              <w:rPr>
                <w:b/>
                <w:lang w:val="en-GB"/>
              </w:rPr>
            </w:pPr>
            <w:r>
              <w:rPr>
                <w:b/>
              </w:rPr>
              <w:t xml:space="preserve">FR2 only intra band CA </w:t>
            </w:r>
          </w:p>
        </w:tc>
        <w:tc>
          <w:tcPr>
            <w:tcW w:w="1416" w:type="dxa"/>
            <w:tcBorders>
              <w:top w:val="single" w:sz="4" w:space="0" w:color="auto"/>
              <w:left w:val="single" w:sz="4" w:space="0" w:color="auto"/>
              <w:bottom w:val="single" w:sz="4" w:space="0" w:color="auto"/>
              <w:right w:val="single" w:sz="4" w:space="0" w:color="auto"/>
            </w:tcBorders>
            <w:hideMark/>
          </w:tcPr>
          <w:p w14:paraId="59DC13E1" w14:textId="2CBA1081" w:rsidR="00EA7997" w:rsidRDefault="00EA7997">
            <w:pPr>
              <w:pStyle w:val="TAC"/>
            </w:pPr>
            <w:r>
              <w:t>1</w:t>
            </w:r>
            <w:r w:rsidR="009C791A">
              <w:t xml:space="preserve"> </w:t>
            </w:r>
            <w:r>
              <w:t xml:space="preserve"> </w:t>
            </w:r>
          </w:p>
        </w:tc>
        <w:tc>
          <w:tcPr>
            <w:tcW w:w="1417" w:type="dxa"/>
            <w:tcBorders>
              <w:top w:val="single" w:sz="4" w:space="0" w:color="auto"/>
              <w:left w:val="single" w:sz="4" w:space="0" w:color="auto"/>
              <w:bottom w:val="single" w:sz="4" w:space="0" w:color="auto"/>
              <w:right w:val="single" w:sz="4" w:space="0" w:color="auto"/>
            </w:tcBorders>
            <w:hideMark/>
          </w:tcPr>
          <w:p w14:paraId="6AF39041" w14:textId="77777777" w:rsidR="00EA7997" w:rsidRDefault="00EA7997">
            <w:pPr>
              <w:pStyle w:val="TAC"/>
            </w:pPr>
            <w:r>
              <w:t>N/A</w:t>
            </w:r>
          </w:p>
        </w:tc>
        <w:tc>
          <w:tcPr>
            <w:tcW w:w="1416" w:type="dxa"/>
            <w:tcBorders>
              <w:top w:val="single" w:sz="4" w:space="0" w:color="auto"/>
              <w:left w:val="single" w:sz="4" w:space="0" w:color="auto"/>
              <w:bottom w:val="single" w:sz="4" w:space="0" w:color="auto"/>
              <w:right w:val="single" w:sz="4" w:space="0" w:color="auto"/>
            </w:tcBorders>
            <w:shd w:val="clear" w:color="auto" w:fill="FFFF00"/>
            <w:hideMark/>
          </w:tcPr>
          <w:p w14:paraId="1CF1EE93" w14:textId="45A02466" w:rsidR="00EA7997" w:rsidRDefault="00EA7997">
            <w:pPr>
              <w:pStyle w:val="TAC"/>
              <w:rPr>
                <w:lang w:val="fr-FR"/>
              </w:rPr>
            </w:pPr>
            <w:r>
              <w:rPr>
                <w:lang w:val="fr-FR"/>
              </w:rPr>
              <w:t>N</w:t>
            </w:r>
            <w:r>
              <w:rPr>
                <w:vertAlign w:val="subscript"/>
                <w:lang w:val="fr-FR"/>
              </w:rPr>
              <w:t>SCC_SSB</w:t>
            </w:r>
            <w:r>
              <w:rPr>
                <w:lang w:val="fr-FR"/>
              </w:rPr>
              <w:t xml:space="preserve"> +Y+Z</w:t>
            </w:r>
          </w:p>
        </w:tc>
        <w:tc>
          <w:tcPr>
            <w:tcW w:w="1367" w:type="dxa"/>
            <w:tcBorders>
              <w:top w:val="single" w:sz="4" w:space="0" w:color="auto"/>
              <w:left w:val="single" w:sz="4" w:space="0" w:color="auto"/>
              <w:bottom w:val="single" w:sz="4" w:space="0" w:color="auto"/>
              <w:right w:val="single" w:sz="4" w:space="0" w:color="auto"/>
            </w:tcBorders>
            <w:shd w:val="clear" w:color="auto" w:fill="FFFF00"/>
            <w:hideMark/>
          </w:tcPr>
          <w:p w14:paraId="085A32AE" w14:textId="3460A444" w:rsidR="00EA7997" w:rsidRDefault="00EA7997">
            <w:pPr>
              <w:pStyle w:val="TAC"/>
              <w:rPr>
                <w:lang w:val="fr-FR"/>
              </w:rPr>
            </w:pPr>
            <w:r>
              <w:rPr>
                <w:lang w:val="fr-FR"/>
              </w:rPr>
              <w:t>N</w:t>
            </w:r>
            <w:r>
              <w:rPr>
                <w:vertAlign w:val="subscript"/>
                <w:lang w:val="fr-FR"/>
              </w:rPr>
              <w:t>SCC_SSB</w:t>
            </w:r>
            <w:r>
              <w:rPr>
                <w:lang w:val="fr-FR"/>
              </w:rPr>
              <w:t xml:space="preserve"> +Y+Z</w:t>
            </w:r>
          </w:p>
        </w:tc>
        <w:tc>
          <w:tcPr>
            <w:tcW w:w="1367" w:type="dxa"/>
            <w:tcBorders>
              <w:top w:val="single" w:sz="4" w:space="0" w:color="auto"/>
              <w:left w:val="single" w:sz="4" w:space="0" w:color="auto"/>
              <w:bottom w:val="single" w:sz="4" w:space="0" w:color="auto"/>
              <w:right w:val="single" w:sz="4" w:space="0" w:color="auto"/>
            </w:tcBorders>
            <w:shd w:val="clear" w:color="auto" w:fill="FFFF00"/>
            <w:hideMark/>
          </w:tcPr>
          <w:p w14:paraId="0756F64F" w14:textId="4A021365" w:rsidR="00EA7997" w:rsidRDefault="00EA7997">
            <w:pPr>
              <w:pStyle w:val="TAC"/>
              <w:rPr>
                <w:lang w:val="fr-FR"/>
              </w:rPr>
            </w:pPr>
            <w:r>
              <w:rPr>
                <w:lang w:val="fr-FR"/>
              </w:rPr>
              <w:t>N</w:t>
            </w:r>
            <w:r>
              <w:rPr>
                <w:vertAlign w:val="subscript"/>
                <w:lang w:val="fr-FR"/>
              </w:rPr>
              <w:t>SCC_SSB</w:t>
            </w:r>
            <w:r>
              <w:rPr>
                <w:lang w:val="fr-FR"/>
              </w:rPr>
              <w:t xml:space="preserve"> +Y+Z</w:t>
            </w:r>
          </w:p>
        </w:tc>
      </w:tr>
      <w:tr w:rsidR="00EA7997" w14:paraId="3507D3F2" w14:textId="77777777" w:rsidTr="00504023">
        <w:trPr>
          <w:trHeight w:val="340"/>
          <w:jc w:val="center"/>
        </w:trPr>
        <w:tc>
          <w:tcPr>
            <w:tcW w:w="1482" w:type="dxa"/>
            <w:tcBorders>
              <w:top w:val="single" w:sz="4" w:space="0" w:color="auto"/>
              <w:left w:val="single" w:sz="4" w:space="0" w:color="auto"/>
              <w:bottom w:val="single" w:sz="4" w:space="0" w:color="auto"/>
              <w:right w:val="single" w:sz="4" w:space="0" w:color="auto"/>
            </w:tcBorders>
            <w:hideMark/>
          </w:tcPr>
          <w:p w14:paraId="1ABA7CDD" w14:textId="77777777" w:rsidR="00EA7997" w:rsidRDefault="00EA7997">
            <w:pPr>
              <w:pStyle w:val="TAL"/>
              <w:rPr>
                <w:b/>
                <w:lang w:val="en-GB"/>
              </w:rPr>
            </w:pPr>
            <w:r>
              <w:rPr>
                <w:b/>
              </w:rPr>
              <w:t>FR2 only inter band CA</w:t>
            </w:r>
          </w:p>
        </w:tc>
        <w:tc>
          <w:tcPr>
            <w:tcW w:w="1416" w:type="dxa"/>
            <w:tcBorders>
              <w:top w:val="single" w:sz="4" w:space="0" w:color="auto"/>
              <w:left w:val="single" w:sz="4" w:space="0" w:color="auto"/>
              <w:bottom w:val="single" w:sz="4" w:space="0" w:color="auto"/>
              <w:right w:val="single" w:sz="4" w:space="0" w:color="auto"/>
            </w:tcBorders>
            <w:hideMark/>
          </w:tcPr>
          <w:p w14:paraId="7F2FA212" w14:textId="25C19186" w:rsidR="00EA7997" w:rsidRDefault="00EA7997">
            <w:pPr>
              <w:pStyle w:val="TAC"/>
            </w:pPr>
            <w:r>
              <w:t>1</w:t>
            </w:r>
            <w:r w:rsidR="009C791A">
              <w:t xml:space="preserve"> </w:t>
            </w:r>
          </w:p>
        </w:tc>
        <w:tc>
          <w:tcPr>
            <w:tcW w:w="1417" w:type="dxa"/>
            <w:tcBorders>
              <w:top w:val="single" w:sz="4" w:space="0" w:color="auto"/>
              <w:left w:val="single" w:sz="4" w:space="0" w:color="auto"/>
              <w:bottom w:val="single" w:sz="4" w:space="0" w:color="auto"/>
              <w:right w:val="single" w:sz="4" w:space="0" w:color="auto"/>
            </w:tcBorders>
            <w:hideMark/>
          </w:tcPr>
          <w:p w14:paraId="616994D5" w14:textId="2378EBED" w:rsidR="00EA7997" w:rsidRDefault="00EA7997">
            <w:pPr>
              <w:pStyle w:val="TAC"/>
            </w:pPr>
            <w:r>
              <w:t>2</w:t>
            </w:r>
            <w:r>
              <w:rPr>
                <w:vertAlign w:val="superscript"/>
              </w:rPr>
              <w:t>Note 3,5</w:t>
            </w:r>
          </w:p>
        </w:tc>
        <w:tc>
          <w:tcPr>
            <w:tcW w:w="1416" w:type="dxa"/>
            <w:tcBorders>
              <w:top w:val="single" w:sz="4" w:space="0" w:color="auto"/>
              <w:left w:val="single" w:sz="4" w:space="0" w:color="auto"/>
              <w:bottom w:val="single" w:sz="4" w:space="0" w:color="auto"/>
              <w:right w:val="single" w:sz="4" w:space="0" w:color="auto"/>
            </w:tcBorders>
            <w:shd w:val="clear" w:color="auto" w:fill="FFFF00"/>
            <w:hideMark/>
          </w:tcPr>
          <w:p w14:paraId="2A7F98CE" w14:textId="3655E894" w:rsidR="00EA7997" w:rsidRDefault="00EA7997">
            <w:pPr>
              <w:pStyle w:val="TAC"/>
              <w:rPr>
                <w:lang w:val="fr-FR"/>
              </w:rPr>
            </w:pPr>
            <w:r>
              <w:rPr>
                <w:lang w:val="fr-FR"/>
              </w:rPr>
              <w:t>2</w:t>
            </w:r>
            <w:proofErr w:type="gramStart"/>
            <w:r>
              <w:rPr>
                <w:lang w:val="fr-FR"/>
              </w:rPr>
              <w:t>×( N</w:t>
            </w:r>
            <w:r>
              <w:rPr>
                <w:vertAlign w:val="subscript"/>
                <w:lang w:val="fr-FR"/>
              </w:rPr>
              <w:t>SCC</w:t>
            </w:r>
            <w:proofErr w:type="gramEnd"/>
            <w:r>
              <w:rPr>
                <w:vertAlign w:val="subscript"/>
                <w:lang w:val="fr-FR"/>
              </w:rPr>
              <w:t>_SSB</w:t>
            </w:r>
            <w:r>
              <w:rPr>
                <w:lang w:val="fr-FR"/>
              </w:rPr>
              <w:t xml:space="preserve"> +Y+Z-1)</w:t>
            </w:r>
          </w:p>
        </w:tc>
        <w:tc>
          <w:tcPr>
            <w:tcW w:w="1367" w:type="dxa"/>
            <w:tcBorders>
              <w:top w:val="single" w:sz="4" w:space="0" w:color="auto"/>
              <w:left w:val="single" w:sz="4" w:space="0" w:color="auto"/>
              <w:bottom w:val="single" w:sz="4" w:space="0" w:color="auto"/>
              <w:right w:val="single" w:sz="4" w:space="0" w:color="auto"/>
            </w:tcBorders>
            <w:shd w:val="clear" w:color="auto" w:fill="FFFF00"/>
            <w:hideMark/>
          </w:tcPr>
          <w:p w14:paraId="7C15E01D" w14:textId="022B270B" w:rsidR="00EA7997" w:rsidRDefault="00EA7997">
            <w:pPr>
              <w:pStyle w:val="TAC"/>
              <w:rPr>
                <w:lang w:val="fr-FR" w:eastAsia="zh-CN"/>
              </w:rPr>
            </w:pPr>
            <w:r>
              <w:rPr>
                <w:lang w:val="fr-FR"/>
              </w:rPr>
              <w:t>2</w:t>
            </w:r>
            <w:proofErr w:type="gramStart"/>
            <w:r>
              <w:rPr>
                <w:lang w:val="fr-FR"/>
              </w:rPr>
              <w:t>×( N</w:t>
            </w:r>
            <w:r>
              <w:rPr>
                <w:vertAlign w:val="subscript"/>
                <w:lang w:val="fr-FR"/>
              </w:rPr>
              <w:t>SCC</w:t>
            </w:r>
            <w:proofErr w:type="gramEnd"/>
            <w:r>
              <w:rPr>
                <w:vertAlign w:val="subscript"/>
                <w:lang w:val="fr-FR"/>
              </w:rPr>
              <w:t>_SSB</w:t>
            </w:r>
            <w:r>
              <w:rPr>
                <w:lang w:val="fr-FR"/>
              </w:rPr>
              <w:t xml:space="preserve"> +Y+Z-1)</w:t>
            </w:r>
          </w:p>
        </w:tc>
        <w:tc>
          <w:tcPr>
            <w:tcW w:w="1367" w:type="dxa"/>
            <w:tcBorders>
              <w:top w:val="single" w:sz="4" w:space="0" w:color="auto"/>
              <w:left w:val="single" w:sz="4" w:space="0" w:color="auto"/>
              <w:bottom w:val="single" w:sz="4" w:space="0" w:color="auto"/>
              <w:right w:val="single" w:sz="4" w:space="0" w:color="auto"/>
            </w:tcBorders>
            <w:shd w:val="clear" w:color="auto" w:fill="FFFF00"/>
            <w:hideMark/>
          </w:tcPr>
          <w:p w14:paraId="6E43AB19" w14:textId="3C8238DA" w:rsidR="00EA7997" w:rsidRDefault="00EA7997">
            <w:pPr>
              <w:pStyle w:val="TAC"/>
              <w:rPr>
                <w:lang w:val="fr-FR" w:eastAsia="en-GB"/>
              </w:rPr>
            </w:pPr>
            <w:r>
              <w:rPr>
                <w:lang w:val="fr-FR"/>
              </w:rPr>
              <w:t>2</w:t>
            </w:r>
            <w:proofErr w:type="gramStart"/>
            <w:r>
              <w:rPr>
                <w:lang w:val="fr-FR"/>
              </w:rPr>
              <w:t>×( N</w:t>
            </w:r>
            <w:r>
              <w:rPr>
                <w:vertAlign w:val="subscript"/>
                <w:lang w:val="fr-FR"/>
              </w:rPr>
              <w:t>SCC</w:t>
            </w:r>
            <w:proofErr w:type="gramEnd"/>
            <w:r>
              <w:rPr>
                <w:vertAlign w:val="subscript"/>
                <w:lang w:val="fr-FR"/>
              </w:rPr>
              <w:t>_SSB</w:t>
            </w:r>
            <w:r>
              <w:rPr>
                <w:lang w:val="fr-FR"/>
              </w:rPr>
              <w:t xml:space="preserve"> +Y+Z-1)</w:t>
            </w:r>
          </w:p>
        </w:tc>
      </w:tr>
      <w:tr w:rsidR="00EA7997" w14:paraId="07B4E2AA" w14:textId="77777777" w:rsidTr="00504023">
        <w:trPr>
          <w:trHeight w:val="340"/>
          <w:jc w:val="center"/>
        </w:trPr>
        <w:tc>
          <w:tcPr>
            <w:tcW w:w="1482" w:type="dxa"/>
            <w:tcBorders>
              <w:top w:val="single" w:sz="4" w:space="0" w:color="auto"/>
              <w:left w:val="single" w:sz="4" w:space="0" w:color="auto"/>
              <w:bottom w:val="single" w:sz="4" w:space="0" w:color="auto"/>
              <w:right w:val="single" w:sz="4" w:space="0" w:color="auto"/>
            </w:tcBorders>
            <w:hideMark/>
          </w:tcPr>
          <w:p w14:paraId="085ABA1E" w14:textId="77777777" w:rsidR="00EA7997" w:rsidRDefault="00EA7997">
            <w:pPr>
              <w:pStyle w:val="TAL"/>
              <w:rPr>
                <w:b/>
                <w:lang w:val="en-GB"/>
              </w:rPr>
            </w:pPr>
            <w:r>
              <w:rPr>
                <w:b/>
              </w:rPr>
              <w:t xml:space="preserve">FR1 +FR2 CA (FR1 PCell) </w:t>
            </w:r>
            <w:r>
              <w:rPr>
                <w:b/>
                <w:vertAlign w:val="superscript"/>
              </w:rPr>
              <w:t>Note 1</w:t>
            </w:r>
          </w:p>
        </w:tc>
        <w:tc>
          <w:tcPr>
            <w:tcW w:w="1416" w:type="dxa"/>
            <w:tcBorders>
              <w:top w:val="single" w:sz="4" w:space="0" w:color="auto"/>
              <w:left w:val="single" w:sz="4" w:space="0" w:color="auto"/>
              <w:bottom w:val="single" w:sz="4" w:space="0" w:color="auto"/>
              <w:right w:val="single" w:sz="4" w:space="0" w:color="auto"/>
            </w:tcBorders>
            <w:hideMark/>
          </w:tcPr>
          <w:p w14:paraId="4C685E94" w14:textId="77777777" w:rsidR="00EA7997" w:rsidRDefault="00EA7997">
            <w:pPr>
              <w:pStyle w:val="TAC"/>
            </w:pPr>
            <w:r>
              <w:t>N/A</w:t>
            </w:r>
          </w:p>
        </w:tc>
        <w:tc>
          <w:tcPr>
            <w:tcW w:w="1417" w:type="dxa"/>
            <w:tcBorders>
              <w:top w:val="single" w:sz="4" w:space="0" w:color="auto"/>
              <w:left w:val="single" w:sz="4" w:space="0" w:color="auto"/>
              <w:bottom w:val="single" w:sz="4" w:space="0" w:color="auto"/>
              <w:right w:val="single" w:sz="4" w:space="0" w:color="auto"/>
            </w:tcBorders>
            <w:hideMark/>
          </w:tcPr>
          <w:p w14:paraId="5B0120DE" w14:textId="0E895575" w:rsidR="00EA7997" w:rsidRDefault="009C791A">
            <w:pPr>
              <w:pStyle w:val="TAC"/>
            </w:pPr>
            <w:r>
              <w:t>2</w:t>
            </w:r>
            <w:r w:rsidR="00EA7997">
              <w:rPr>
                <w:vertAlign w:val="superscript"/>
              </w:rPr>
              <w:t>Note 3,5</w:t>
            </w:r>
          </w:p>
        </w:tc>
        <w:tc>
          <w:tcPr>
            <w:tcW w:w="1416" w:type="dxa"/>
            <w:tcBorders>
              <w:top w:val="single" w:sz="4" w:space="0" w:color="auto"/>
              <w:left w:val="single" w:sz="4" w:space="0" w:color="auto"/>
              <w:bottom w:val="single" w:sz="4" w:space="0" w:color="auto"/>
              <w:right w:val="single" w:sz="4" w:space="0" w:color="auto"/>
            </w:tcBorders>
            <w:shd w:val="clear" w:color="auto" w:fill="FFFF00"/>
            <w:hideMark/>
          </w:tcPr>
          <w:p w14:paraId="5556BAF7" w14:textId="3B6F1C0D" w:rsidR="00EA7997" w:rsidRDefault="00EA7997">
            <w:pPr>
              <w:pStyle w:val="TAC"/>
              <w:rPr>
                <w:lang w:val="fr-FR"/>
              </w:rPr>
            </w:pPr>
            <w:r>
              <w:rPr>
                <w:lang w:val="fr-FR"/>
              </w:rPr>
              <w:t>2</w:t>
            </w:r>
            <w:proofErr w:type="gramStart"/>
            <w:r>
              <w:rPr>
                <w:lang w:val="fr-FR"/>
              </w:rPr>
              <w:t>×( N</w:t>
            </w:r>
            <w:r>
              <w:rPr>
                <w:vertAlign w:val="subscript"/>
                <w:lang w:val="fr-FR"/>
              </w:rPr>
              <w:t>SCC</w:t>
            </w:r>
            <w:proofErr w:type="gramEnd"/>
            <w:r>
              <w:rPr>
                <w:vertAlign w:val="subscript"/>
                <w:lang w:val="fr-FR"/>
              </w:rPr>
              <w:t>_SSB</w:t>
            </w:r>
            <w:r>
              <w:rPr>
                <w:lang w:val="fr-FR"/>
              </w:rPr>
              <w:t xml:space="preserve"> +Y+Z-1)</w:t>
            </w:r>
          </w:p>
        </w:tc>
        <w:tc>
          <w:tcPr>
            <w:tcW w:w="1367" w:type="dxa"/>
            <w:tcBorders>
              <w:top w:val="single" w:sz="4" w:space="0" w:color="auto"/>
              <w:left w:val="single" w:sz="4" w:space="0" w:color="auto"/>
              <w:bottom w:val="single" w:sz="4" w:space="0" w:color="auto"/>
              <w:right w:val="single" w:sz="4" w:space="0" w:color="auto"/>
            </w:tcBorders>
            <w:shd w:val="clear" w:color="auto" w:fill="FFFF00"/>
            <w:hideMark/>
          </w:tcPr>
          <w:p w14:paraId="7B4F7928" w14:textId="2E164074" w:rsidR="00EA7997" w:rsidRDefault="00EA7997">
            <w:pPr>
              <w:pStyle w:val="TAC"/>
              <w:rPr>
                <w:lang w:val="fr-FR"/>
              </w:rPr>
            </w:pPr>
            <w:r>
              <w:rPr>
                <w:lang w:val="fr-FR"/>
              </w:rPr>
              <w:t>2</w:t>
            </w:r>
            <w:proofErr w:type="gramStart"/>
            <w:r>
              <w:rPr>
                <w:lang w:val="fr-FR"/>
              </w:rPr>
              <w:t>×( N</w:t>
            </w:r>
            <w:r>
              <w:rPr>
                <w:vertAlign w:val="subscript"/>
                <w:lang w:val="fr-FR"/>
              </w:rPr>
              <w:t>SCC</w:t>
            </w:r>
            <w:proofErr w:type="gramEnd"/>
            <w:r>
              <w:rPr>
                <w:vertAlign w:val="subscript"/>
                <w:lang w:val="fr-FR"/>
              </w:rPr>
              <w:t>_SSB</w:t>
            </w:r>
            <w:r>
              <w:rPr>
                <w:lang w:val="fr-FR"/>
              </w:rPr>
              <w:t xml:space="preserve"> +Y+Z-1)</w:t>
            </w:r>
          </w:p>
        </w:tc>
        <w:tc>
          <w:tcPr>
            <w:tcW w:w="1367" w:type="dxa"/>
            <w:tcBorders>
              <w:top w:val="single" w:sz="4" w:space="0" w:color="auto"/>
              <w:left w:val="single" w:sz="4" w:space="0" w:color="auto"/>
              <w:bottom w:val="single" w:sz="4" w:space="0" w:color="auto"/>
              <w:right w:val="single" w:sz="4" w:space="0" w:color="auto"/>
            </w:tcBorders>
            <w:shd w:val="clear" w:color="auto" w:fill="FFFF00"/>
            <w:hideMark/>
          </w:tcPr>
          <w:p w14:paraId="32E7F529" w14:textId="51DB352E" w:rsidR="00EA7997" w:rsidRDefault="00EA7997">
            <w:pPr>
              <w:pStyle w:val="TAC"/>
              <w:rPr>
                <w:lang w:val="fr-FR"/>
              </w:rPr>
            </w:pPr>
            <w:r>
              <w:rPr>
                <w:lang w:val="fr-FR"/>
              </w:rPr>
              <w:t>2</w:t>
            </w:r>
            <w:proofErr w:type="gramStart"/>
            <w:r>
              <w:rPr>
                <w:lang w:val="fr-FR"/>
              </w:rPr>
              <w:t>×( N</w:t>
            </w:r>
            <w:r>
              <w:rPr>
                <w:vertAlign w:val="subscript"/>
                <w:lang w:val="fr-FR"/>
              </w:rPr>
              <w:t>SCC</w:t>
            </w:r>
            <w:proofErr w:type="gramEnd"/>
            <w:r>
              <w:rPr>
                <w:vertAlign w:val="subscript"/>
                <w:lang w:val="fr-FR"/>
              </w:rPr>
              <w:t>_SSB</w:t>
            </w:r>
            <w:r>
              <w:rPr>
                <w:lang w:val="fr-FR"/>
              </w:rPr>
              <w:t xml:space="preserve"> +Y+Z-1)</w:t>
            </w:r>
          </w:p>
        </w:tc>
      </w:tr>
      <w:tr w:rsidR="00EA7997" w14:paraId="3CE9C262" w14:textId="77777777" w:rsidTr="00504023">
        <w:trPr>
          <w:trHeight w:val="340"/>
          <w:jc w:val="center"/>
        </w:trPr>
        <w:tc>
          <w:tcPr>
            <w:tcW w:w="1482" w:type="dxa"/>
            <w:tcBorders>
              <w:top w:val="single" w:sz="4" w:space="0" w:color="auto"/>
              <w:left w:val="single" w:sz="4" w:space="0" w:color="auto"/>
              <w:bottom w:val="single" w:sz="4" w:space="0" w:color="auto"/>
              <w:right w:val="single" w:sz="4" w:space="0" w:color="auto"/>
            </w:tcBorders>
            <w:hideMark/>
          </w:tcPr>
          <w:p w14:paraId="41685326" w14:textId="77777777" w:rsidR="00EA7997" w:rsidRDefault="00EA7997">
            <w:pPr>
              <w:pStyle w:val="TAL"/>
              <w:rPr>
                <w:b/>
                <w:lang w:val="en-GB"/>
              </w:rPr>
            </w:pPr>
            <w:r>
              <w:rPr>
                <w:b/>
                <w:szCs w:val="18"/>
              </w:rPr>
              <w:t xml:space="preserve">FR1 +FR2 CA (FR2 PCell) </w:t>
            </w:r>
            <w:r>
              <w:rPr>
                <w:b/>
                <w:szCs w:val="18"/>
                <w:vertAlign w:val="superscript"/>
              </w:rPr>
              <w:t>Note 1</w:t>
            </w:r>
          </w:p>
        </w:tc>
        <w:tc>
          <w:tcPr>
            <w:tcW w:w="1416" w:type="dxa"/>
            <w:tcBorders>
              <w:top w:val="single" w:sz="4" w:space="0" w:color="auto"/>
              <w:left w:val="single" w:sz="4" w:space="0" w:color="auto"/>
              <w:bottom w:val="single" w:sz="4" w:space="0" w:color="auto"/>
              <w:right w:val="single" w:sz="4" w:space="0" w:color="auto"/>
            </w:tcBorders>
            <w:hideMark/>
          </w:tcPr>
          <w:p w14:paraId="27B75004" w14:textId="152E1218" w:rsidR="00EA7997" w:rsidRDefault="00EA7997">
            <w:pPr>
              <w:pStyle w:val="TAC"/>
            </w:pPr>
            <w:r>
              <w:rPr>
                <w:rFonts w:cs="Arial"/>
                <w:szCs w:val="18"/>
              </w:rPr>
              <w:t>1</w:t>
            </w:r>
            <w:r w:rsidR="009C791A">
              <w:rPr>
                <w:rFonts w:cs="Arial"/>
                <w:szCs w:val="18"/>
              </w:rPr>
              <w:t xml:space="preserve"> </w:t>
            </w:r>
          </w:p>
        </w:tc>
        <w:tc>
          <w:tcPr>
            <w:tcW w:w="1417" w:type="dxa"/>
            <w:tcBorders>
              <w:top w:val="single" w:sz="4" w:space="0" w:color="auto"/>
              <w:left w:val="single" w:sz="4" w:space="0" w:color="auto"/>
              <w:bottom w:val="single" w:sz="4" w:space="0" w:color="auto"/>
              <w:right w:val="single" w:sz="4" w:space="0" w:color="auto"/>
            </w:tcBorders>
            <w:hideMark/>
          </w:tcPr>
          <w:p w14:paraId="3E855E6E" w14:textId="77777777" w:rsidR="00EA7997" w:rsidRDefault="00EA7997">
            <w:pPr>
              <w:pStyle w:val="TAC"/>
            </w:pPr>
            <w:r>
              <w:rPr>
                <w:rFonts w:cs="Arial"/>
                <w:szCs w:val="18"/>
                <w:lang w:eastAsia="zh-CN"/>
              </w:rPr>
              <w:t>N/A</w:t>
            </w:r>
          </w:p>
        </w:tc>
        <w:tc>
          <w:tcPr>
            <w:tcW w:w="1416" w:type="dxa"/>
            <w:tcBorders>
              <w:top w:val="single" w:sz="4" w:space="0" w:color="auto"/>
              <w:left w:val="single" w:sz="4" w:space="0" w:color="auto"/>
              <w:bottom w:val="single" w:sz="4" w:space="0" w:color="auto"/>
              <w:right w:val="single" w:sz="4" w:space="0" w:color="auto"/>
            </w:tcBorders>
            <w:shd w:val="clear" w:color="auto" w:fill="FFFF00"/>
            <w:hideMark/>
          </w:tcPr>
          <w:p w14:paraId="1D84658C" w14:textId="3093E262" w:rsidR="00EA7997" w:rsidRDefault="00EA7997">
            <w:pPr>
              <w:pStyle w:val="TAC"/>
              <w:rPr>
                <w:lang w:val="fr-FR"/>
              </w:rPr>
            </w:pPr>
            <w:r>
              <w:rPr>
                <w:rFonts w:cs="Arial"/>
                <w:szCs w:val="18"/>
              </w:rPr>
              <w:t>N</w:t>
            </w:r>
            <w:r>
              <w:rPr>
                <w:rFonts w:cs="Arial"/>
                <w:szCs w:val="18"/>
                <w:vertAlign w:val="subscript"/>
              </w:rPr>
              <w:t>SCC_SSB</w:t>
            </w:r>
            <w:r>
              <w:rPr>
                <w:rFonts w:cs="Arial"/>
                <w:szCs w:val="18"/>
              </w:rPr>
              <w:t xml:space="preserve"> +Y</w:t>
            </w:r>
            <w:r>
              <w:rPr>
                <w:lang w:val="fr-FR"/>
              </w:rPr>
              <w:t>+Z</w:t>
            </w:r>
          </w:p>
        </w:tc>
        <w:tc>
          <w:tcPr>
            <w:tcW w:w="1367" w:type="dxa"/>
            <w:tcBorders>
              <w:top w:val="single" w:sz="4" w:space="0" w:color="auto"/>
              <w:left w:val="single" w:sz="4" w:space="0" w:color="auto"/>
              <w:bottom w:val="single" w:sz="4" w:space="0" w:color="auto"/>
              <w:right w:val="single" w:sz="4" w:space="0" w:color="auto"/>
            </w:tcBorders>
            <w:shd w:val="clear" w:color="auto" w:fill="FFFF00"/>
            <w:hideMark/>
          </w:tcPr>
          <w:p w14:paraId="7B387F8D" w14:textId="26B35CF6" w:rsidR="00EA7997" w:rsidRDefault="00EA7997">
            <w:pPr>
              <w:pStyle w:val="TAC"/>
              <w:rPr>
                <w:lang w:val="fr-FR"/>
              </w:rPr>
            </w:pPr>
            <w:r>
              <w:rPr>
                <w:rFonts w:cs="Arial"/>
                <w:szCs w:val="18"/>
              </w:rPr>
              <w:t>N</w:t>
            </w:r>
            <w:r>
              <w:rPr>
                <w:rFonts w:cs="Arial"/>
                <w:szCs w:val="18"/>
                <w:vertAlign w:val="subscript"/>
              </w:rPr>
              <w:t>SCC_SSB</w:t>
            </w:r>
            <w:r>
              <w:rPr>
                <w:rFonts w:cs="Arial"/>
                <w:szCs w:val="18"/>
              </w:rPr>
              <w:t xml:space="preserve"> +Y</w:t>
            </w:r>
            <w:r>
              <w:rPr>
                <w:lang w:val="fr-FR"/>
              </w:rPr>
              <w:t>+Z</w:t>
            </w:r>
          </w:p>
        </w:tc>
        <w:tc>
          <w:tcPr>
            <w:tcW w:w="1367" w:type="dxa"/>
            <w:tcBorders>
              <w:top w:val="single" w:sz="4" w:space="0" w:color="auto"/>
              <w:left w:val="single" w:sz="4" w:space="0" w:color="auto"/>
              <w:bottom w:val="single" w:sz="4" w:space="0" w:color="auto"/>
              <w:right w:val="single" w:sz="4" w:space="0" w:color="auto"/>
            </w:tcBorders>
            <w:shd w:val="clear" w:color="auto" w:fill="FFFF00"/>
            <w:hideMark/>
          </w:tcPr>
          <w:p w14:paraId="4182404E" w14:textId="619410C8" w:rsidR="00EA7997" w:rsidRDefault="00EA7997">
            <w:pPr>
              <w:pStyle w:val="TAC"/>
              <w:rPr>
                <w:rFonts w:cs="Arial"/>
                <w:szCs w:val="18"/>
              </w:rPr>
            </w:pPr>
            <w:r>
              <w:rPr>
                <w:rFonts w:cs="Arial"/>
                <w:szCs w:val="18"/>
                <w:lang w:val="fr-FR"/>
              </w:rPr>
              <w:t>N</w:t>
            </w:r>
            <w:r>
              <w:rPr>
                <w:rFonts w:cs="Arial"/>
                <w:szCs w:val="18"/>
                <w:vertAlign w:val="subscript"/>
                <w:lang w:val="fr-FR"/>
              </w:rPr>
              <w:t>SCC_SSB</w:t>
            </w:r>
            <w:r>
              <w:rPr>
                <w:rFonts w:cs="Arial"/>
                <w:szCs w:val="18"/>
                <w:lang w:val="fr-FR"/>
              </w:rPr>
              <w:t xml:space="preserve"> +Y+Z</w:t>
            </w:r>
          </w:p>
        </w:tc>
      </w:tr>
      <w:tr w:rsidR="009C791A" w14:paraId="6C5DF73D" w14:textId="77777777" w:rsidTr="002A5DE5">
        <w:trPr>
          <w:trHeight w:val="340"/>
          <w:jc w:val="center"/>
        </w:trPr>
        <w:tc>
          <w:tcPr>
            <w:tcW w:w="8465" w:type="dxa"/>
            <w:gridSpan w:val="6"/>
            <w:tcBorders>
              <w:top w:val="single" w:sz="4" w:space="0" w:color="auto"/>
              <w:left w:val="single" w:sz="4" w:space="0" w:color="auto"/>
              <w:bottom w:val="single" w:sz="4" w:space="0" w:color="auto"/>
              <w:right w:val="single" w:sz="4" w:space="0" w:color="auto"/>
            </w:tcBorders>
          </w:tcPr>
          <w:p w14:paraId="7BA7E8B7" w14:textId="77777777" w:rsidR="009C791A" w:rsidRDefault="009C791A" w:rsidP="009C791A">
            <w:pPr>
              <w:pStyle w:val="TAN"/>
              <w:rPr>
                <w:lang w:eastAsia="zh-CN"/>
              </w:rPr>
            </w:pPr>
            <w:r>
              <w:rPr>
                <w:lang w:eastAsia="zh-CN"/>
              </w:rPr>
              <w:t>Note 1:</w:t>
            </w:r>
            <w:r>
              <w:tab/>
            </w:r>
            <w:r>
              <w:rPr>
                <w:lang w:eastAsia="zh-CN"/>
              </w:rPr>
              <w:t>Only one FR1 operating band and one FR2 operating band are included for FR1+FR2 inter-band CA.</w:t>
            </w:r>
          </w:p>
          <w:p w14:paraId="73979F53" w14:textId="77777777" w:rsidR="009C791A" w:rsidRDefault="009C791A" w:rsidP="009C791A">
            <w:pPr>
              <w:pStyle w:val="TAN"/>
              <w:rPr>
                <w:rFonts w:eastAsia="MS Mincho"/>
                <w:lang w:eastAsia="ja-JP"/>
              </w:rPr>
            </w:pPr>
            <w:r>
              <w:rPr>
                <w:lang w:eastAsia="zh-CN"/>
              </w:rPr>
              <w:t xml:space="preserve">Note </w:t>
            </w:r>
            <w:r>
              <w:rPr>
                <w:rFonts w:eastAsia="MS Mincho"/>
                <w:lang w:eastAsia="ja-JP"/>
              </w:rPr>
              <w:t>2</w:t>
            </w:r>
            <w:r>
              <w:rPr>
                <w:lang w:eastAsia="zh-CN"/>
              </w:rPr>
              <w:t>:</w:t>
            </w:r>
            <w:r>
              <w:tab/>
            </w:r>
            <w:r>
              <w:rPr>
                <w:rFonts w:eastAsia="MS Mincho"/>
                <w:lang w:eastAsia="ja-JP"/>
              </w:rPr>
              <w:t>Selection of FR2 SCC where neighbour cell measurement is required follows clause 9.2.3.2.</w:t>
            </w:r>
          </w:p>
          <w:p w14:paraId="1AC83442" w14:textId="77777777" w:rsidR="009C791A" w:rsidRDefault="009C791A" w:rsidP="009C791A">
            <w:pPr>
              <w:pStyle w:val="TAN"/>
              <w:rPr>
                <w:rFonts w:eastAsia="Times New Roman"/>
                <w:lang w:eastAsia="zh-CN"/>
              </w:rPr>
            </w:pPr>
            <w:r>
              <w:rPr>
                <w:lang w:eastAsia="zh-CN"/>
              </w:rPr>
              <w:t>Note 3:</w:t>
            </w:r>
            <w:r>
              <w:tab/>
            </w:r>
            <w:r>
              <w:rPr>
                <w:lang w:eastAsia="zh-CN"/>
              </w:rPr>
              <w:t>CSSF</w:t>
            </w:r>
            <w:r>
              <w:rPr>
                <w:vertAlign w:val="subscript"/>
                <w:lang w:eastAsia="zh-CN"/>
              </w:rPr>
              <w:t>outside_</w:t>
            </w:r>
            <w:proofErr w:type="gramStart"/>
            <w:r>
              <w:rPr>
                <w:vertAlign w:val="subscript"/>
                <w:lang w:eastAsia="zh-CN"/>
              </w:rPr>
              <w:t>gap,i</w:t>
            </w:r>
            <w:proofErr w:type="gramEnd"/>
            <w:r>
              <w:rPr>
                <w:vertAlign w:val="subscript"/>
                <w:lang w:eastAsia="zh-CN"/>
              </w:rPr>
              <w:t xml:space="preserve"> </w:t>
            </w:r>
            <w:r>
              <w:rPr>
                <w:lang w:eastAsia="zh-CN"/>
              </w:rPr>
              <w:t xml:space="preserve">=1 if  only one SCell is configured and no inter-frequency MO without gap </w:t>
            </w:r>
            <w:r>
              <w:t>and only SSB based L3 measurement is configured on SCC; CSSF</w:t>
            </w:r>
            <w:r>
              <w:rPr>
                <w:vertAlign w:val="subscript"/>
              </w:rPr>
              <w:t xml:space="preserve">outside_gap,i </w:t>
            </w:r>
            <w:r>
              <w:t xml:space="preserve">=2 if </w:t>
            </w:r>
            <w:r>
              <w:rPr>
                <w:lang w:eastAsia="zh-CN"/>
              </w:rPr>
              <w:t xml:space="preserve">only one SCell </w:t>
            </w:r>
            <w:r>
              <w:t>is configured and no inter-frequency MO without gap and either both SSB and CSI-RS based L3 configured or only CSI-RS based L3 measurement is configured on SCC</w:t>
            </w:r>
            <w:r>
              <w:rPr>
                <w:lang w:eastAsia="zh-CN"/>
              </w:rPr>
              <w:t>.</w:t>
            </w:r>
          </w:p>
          <w:p w14:paraId="0D897A42" w14:textId="77777777" w:rsidR="009C791A" w:rsidRDefault="009C791A" w:rsidP="009C791A">
            <w:pPr>
              <w:pStyle w:val="TAN"/>
              <w:rPr>
                <w:lang w:val="en-US" w:eastAsia="zh-CN"/>
              </w:rPr>
            </w:pPr>
            <w:r>
              <w:rPr>
                <w:lang w:val="en-US" w:eastAsia="zh-CN"/>
              </w:rPr>
              <w:t>Note 4:</w:t>
            </w:r>
            <w:r>
              <w:tab/>
            </w:r>
            <w:r>
              <w:rPr>
                <w:lang w:val="en-US" w:eastAsia="zh-CN"/>
              </w:rPr>
              <w:t>Y is the number of configured inter-frequency MOs without MG that are being measured outside of MG; otherwise, it is 0.</w:t>
            </w:r>
          </w:p>
          <w:p w14:paraId="6E23E4E1" w14:textId="77777777" w:rsidR="009C791A" w:rsidRDefault="009C791A" w:rsidP="009C791A">
            <w:pPr>
              <w:pStyle w:val="TAN"/>
              <w:rPr>
                <w:lang w:eastAsia="en-GB"/>
              </w:rPr>
            </w:pPr>
            <w:r>
              <w:rPr>
                <w:lang w:eastAsia="zh-CN"/>
              </w:rPr>
              <w:t xml:space="preserve">Note </w:t>
            </w:r>
            <w:r>
              <w:rPr>
                <w:rFonts w:eastAsia="MS Mincho"/>
                <w:lang w:eastAsia="ja-JP"/>
              </w:rPr>
              <w:t>5</w:t>
            </w:r>
            <w:r>
              <w:rPr>
                <w:lang w:eastAsia="zh-CN"/>
              </w:rPr>
              <w:t>:</w:t>
            </w:r>
            <w:r>
              <w:tab/>
            </w:r>
            <w:r>
              <w:rPr>
                <w:lang w:eastAsia="zh-CN"/>
              </w:rPr>
              <w:t>Only two NR FR2 operating bands are included for FR2 inter-band CA.</w:t>
            </w:r>
          </w:p>
          <w:p w14:paraId="21098ABB" w14:textId="77777777" w:rsidR="009C791A" w:rsidRDefault="009C791A" w:rsidP="009C791A">
            <w:pPr>
              <w:keepNext/>
              <w:keepLines/>
              <w:ind w:left="851" w:hanging="851"/>
              <w:rPr>
                <w:rFonts w:ascii="Arial" w:eastAsia="CG Times (WN)" w:hAnsi="Arial"/>
                <w:sz w:val="18"/>
                <w:lang w:eastAsia="x-none"/>
              </w:rPr>
            </w:pPr>
            <w:r>
              <w:rPr>
                <w:rFonts w:ascii="Arial" w:eastAsia="CG Times (WN)" w:hAnsi="Arial"/>
                <w:sz w:val="18"/>
                <w:lang w:eastAsia="x-none"/>
              </w:rPr>
              <w:t>Note 9:</w:t>
            </w:r>
            <w:r>
              <w:rPr>
                <w:rFonts w:ascii="Arial" w:eastAsia="CG Times (WN)" w:hAnsi="Arial"/>
                <w:sz w:val="18"/>
                <w:lang w:eastAsia="x-none"/>
              </w:rPr>
              <w:tab/>
            </w:r>
            <w:r w:rsidRPr="005D5094">
              <w:rPr>
                <w:rFonts w:ascii="Arial" w:eastAsia="CG Times (WN)" w:hAnsi="Arial"/>
                <w:sz w:val="18"/>
                <w:shd w:val="clear" w:color="auto" w:fill="FFFF00"/>
                <w:lang w:eastAsia="x-none"/>
              </w:rPr>
              <w:t>N</w:t>
            </w:r>
            <w:r w:rsidRPr="005D5094">
              <w:rPr>
                <w:rFonts w:ascii="Arial" w:eastAsia="CG Times (WN)" w:hAnsi="Arial"/>
                <w:sz w:val="18"/>
                <w:shd w:val="clear" w:color="auto" w:fill="FFFF00"/>
                <w:vertAlign w:val="subscript"/>
                <w:lang w:eastAsia="x-none"/>
              </w:rPr>
              <w:t>SCC_SSB</w:t>
            </w:r>
            <w:r w:rsidRPr="005D5094">
              <w:rPr>
                <w:rFonts w:ascii="Arial" w:eastAsia="CG Times (WN)" w:hAnsi="Arial"/>
                <w:sz w:val="18"/>
                <w:shd w:val="clear" w:color="auto" w:fill="FFFF00"/>
                <w:lang w:eastAsia="x-none"/>
              </w:rPr>
              <w:t>=</w:t>
            </w:r>
            <w:r>
              <w:rPr>
                <w:rFonts w:ascii="Arial" w:eastAsia="CG Times (WN)" w:hAnsi="Arial"/>
                <w:sz w:val="18"/>
                <w:lang w:eastAsia="x-none"/>
              </w:rPr>
              <w:t>Number of configured SCell(s) with only SSB based L3 measurement configured, which is measured without MG.</w:t>
            </w:r>
          </w:p>
          <w:p w14:paraId="54B98631" w14:textId="7BCB562B" w:rsidR="009C791A" w:rsidRPr="009C791A" w:rsidRDefault="009C791A" w:rsidP="009C791A">
            <w:pPr>
              <w:pStyle w:val="TAN"/>
              <w:rPr>
                <w:rFonts w:eastAsia="Malgun Gothic"/>
                <w:lang w:eastAsia="en-GB"/>
              </w:rPr>
            </w:pPr>
            <w:r>
              <w:rPr>
                <w:lang w:val="en-US" w:eastAsia="zh-CN"/>
              </w:rPr>
              <w:t>Note 11:</w:t>
            </w:r>
            <w:r>
              <w:tab/>
            </w:r>
            <w:r>
              <w:rPr>
                <w:lang w:val="en-US" w:eastAsia="zh-CN"/>
              </w:rPr>
              <w:t>Z is the number of configured E-UTRA inter-RAT MOs without MG that are being measured outside of MG; otherwise, it is 0.</w:t>
            </w:r>
          </w:p>
        </w:tc>
      </w:tr>
    </w:tbl>
    <w:p w14:paraId="538B649F" w14:textId="238042A4" w:rsidR="00EA7997" w:rsidRPr="00EA7997" w:rsidRDefault="007F7EE1" w:rsidP="00182B74">
      <w:pPr>
        <w:rPr>
          <w:lang w:val="en-US"/>
        </w:rPr>
      </w:pPr>
      <w:r>
        <w:rPr>
          <w:lang w:val="en-US"/>
        </w:rPr>
        <w:t>We propose to enhance the scaling factor for the highlighted contents so that the UE is required to only measure one of the FR2 carriers and share the results among all for each band when carrying out SSB based FR2 L3 measurements.</w:t>
      </w:r>
    </w:p>
    <w:p w14:paraId="378782CC" w14:textId="222DA07A" w:rsidR="00B2719B" w:rsidRDefault="00B43A16" w:rsidP="00182B74">
      <w:pPr>
        <w:rPr>
          <w:b/>
          <w:bCs/>
        </w:rPr>
      </w:pPr>
      <w:r w:rsidRPr="004D366B">
        <w:rPr>
          <w:b/>
          <w:bCs/>
        </w:rPr>
        <w:t xml:space="preserve">Proposal </w:t>
      </w:r>
      <w:r w:rsidR="00227BE1">
        <w:rPr>
          <w:b/>
          <w:bCs/>
        </w:rPr>
        <w:t>1</w:t>
      </w:r>
      <w:r w:rsidRPr="004D366B">
        <w:rPr>
          <w:b/>
          <w:bCs/>
        </w:rPr>
        <w:t xml:space="preserve">: RAN4 enhances the scaling factor of CSSF outside gap so that the UE is required to only measure one of the FR2 carriers </w:t>
      </w:r>
      <w:r w:rsidR="004D366B" w:rsidRPr="004D366B">
        <w:rPr>
          <w:b/>
          <w:bCs/>
        </w:rPr>
        <w:t>and share the results among all for each band when carrying out SSB based FR2 L3 measurements.</w:t>
      </w:r>
    </w:p>
    <w:p w14:paraId="5C3B2467" w14:textId="4347CD56" w:rsidR="00BB0A9B" w:rsidRPr="00BB0A9B" w:rsidRDefault="00BB0A9B" w:rsidP="00182B74">
      <w:pPr>
        <w:rPr>
          <w:lang w:val="en-US"/>
        </w:rPr>
      </w:pPr>
      <w:r>
        <w:lastRenderedPageBreak/>
        <w:t>In general</w:t>
      </w:r>
      <w:r w:rsidR="00981E8B">
        <w:t>,</w:t>
      </w:r>
      <w:r>
        <w:t xml:space="preserve"> we think N_(SCC_SSB) = 0 for FR2 only intra-band CA and N_(SCC_SSB) = 1 for FR2 only inter-band CA.</w:t>
      </w:r>
    </w:p>
    <w:p w14:paraId="3AAF52EC" w14:textId="20249ED8" w:rsidR="007F7EE1" w:rsidRPr="007A0A95" w:rsidRDefault="007F7EE1" w:rsidP="007F7EE1">
      <w:pPr>
        <w:rPr>
          <w:b/>
          <w:bCs/>
          <w:i/>
          <w:iCs/>
          <w:u w:val="single"/>
        </w:rPr>
      </w:pPr>
      <w:r w:rsidRPr="007A0A95">
        <w:rPr>
          <w:b/>
          <w:bCs/>
          <w:i/>
          <w:iCs/>
          <w:u w:val="single"/>
        </w:rPr>
        <w:t xml:space="preserve">CSSF outside gap for </w:t>
      </w:r>
      <w:r>
        <w:rPr>
          <w:b/>
          <w:bCs/>
          <w:i/>
          <w:iCs/>
          <w:u w:val="single"/>
        </w:rPr>
        <w:t>DC</w:t>
      </w:r>
    </w:p>
    <w:p w14:paraId="1DCB0012" w14:textId="38638C68" w:rsidR="007F7EE1" w:rsidRDefault="00025B81" w:rsidP="00182B74">
      <w:r>
        <w:t xml:space="preserve">Regarding NR-DC, there is no intra-band cases and FR2 inter-band NR-DC is considered </w:t>
      </w:r>
      <w:proofErr w:type="gramStart"/>
      <w:r>
        <w:t>exactly the same</w:t>
      </w:r>
      <w:proofErr w:type="gramEnd"/>
      <w:r>
        <w:t xml:space="preserve"> with FR2 inter-band CA. </w:t>
      </w:r>
    </w:p>
    <w:p w14:paraId="1ACBE53F" w14:textId="658DCAD4" w:rsidR="00F95D30" w:rsidRPr="00F95D30" w:rsidRDefault="00F95D30" w:rsidP="00182B74">
      <w:pPr>
        <w:rPr>
          <w:b/>
          <w:bCs/>
        </w:rPr>
      </w:pPr>
      <w:r w:rsidRPr="00F95D30">
        <w:rPr>
          <w:b/>
          <w:bCs/>
        </w:rPr>
        <w:t xml:space="preserve">Proposal 2: Regarding NR-DC, </w:t>
      </w:r>
      <w:r w:rsidR="00E945E5">
        <w:rPr>
          <w:b/>
          <w:bCs/>
        </w:rPr>
        <w:t>requirements follow CA cases</w:t>
      </w:r>
      <w:r w:rsidRPr="00F95D30">
        <w:rPr>
          <w:b/>
          <w:bCs/>
        </w:rPr>
        <w:t>.</w:t>
      </w:r>
    </w:p>
    <w:p w14:paraId="37F49BEC" w14:textId="518CA747" w:rsidR="00025B81" w:rsidRDefault="00025B81" w:rsidP="00182B74">
      <w:r>
        <w:t>Regarding EN-DC, we don’t see any urgent need to introduce enhancements for EN-DC at this stage and we propose to deprioritize EN-DC scope in this work item.</w:t>
      </w:r>
    </w:p>
    <w:p w14:paraId="6A317B46" w14:textId="749932E3" w:rsidR="00025B81" w:rsidRPr="002B6216" w:rsidRDefault="002B6216" w:rsidP="00182B74">
      <w:pPr>
        <w:rPr>
          <w:b/>
          <w:bCs/>
        </w:rPr>
      </w:pPr>
      <w:r w:rsidRPr="002B6216">
        <w:rPr>
          <w:b/>
          <w:bCs/>
        </w:rPr>
        <w:t xml:space="preserve">Proposal </w:t>
      </w:r>
      <w:r w:rsidR="00F95D30">
        <w:rPr>
          <w:b/>
          <w:bCs/>
        </w:rPr>
        <w:t>3</w:t>
      </w:r>
      <w:r w:rsidRPr="002B6216">
        <w:rPr>
          <w:b/>
          <w:bCs/>
        </w:rPr>
        <w:t>: Deprioritize EN-DC scope in this work item.</w:t>
      </w:r>
    </w:p>
    <w:p w14:paraId="442A8EF3" w14:textId="17298662" w:rsidR="001316B6" w:rsidRPr="001316B6" w:rsidRDefault="001316B6" w:rsidP="00182B74">
      <w:pPr>
        <w:rPr>
          <w:b/>
          <w:bCs/>
          <w:i/>
          <w:iCs/>
          <w:u w:val="single"/>
        </w:rPr>
      </w:pPr>
      <w:r w:rsidRPr="001316B6">
        <w:rPr>
          <w:b/>
          <w:bCs/>
          <w:i/>
          <w:iCs/>
          <w:u w:val="single"/>
        </w:rPr>
        <w:t>Number of searchers is two</w:t>
      </w:r>
    </w:p>
    <w:p w14:paraId="5A2D3CC8" w14:textId="01D9DF6F" w:rsidR="001316B6" w:rsidRDefault="001316B6" w:rsidP="00182B74">
      <w:r>
        <w:t>It is agreed in the WID that the baseline assumption for number of searchers is two searchers for a UE. We can consider enhancements on the number of searchers in a future release beyond Rel-19.</w:t>
      </w:r>
    </w:p>
    <w:p w14:paraId="06B0650C" w14:textId="02891283" w:rsidR="00F01182" w:rsidRPr="00146B4F" w:rsidRDefault="00F01182" w:rsidP="00530EE0">
      <w:pPr>
        <w:pStyle w:val="Heading1"/>
      </w:pPr>
      <w:r w:rsidRPr="00146B4F">
        <w:t>Conclusion</w:t>
      </w:r>
    </w:p>
    <w:p w14:paraId="1D2ED12A" w14:textId="77777777" w:rsidR="00025B81" w:rsidRDefault="00025B81" w:rsidP="00025B81">
      <w:r>
        <w:t>In this paper we provide our views on the scope of FR2-1 SSB based L3 measurement delay reduction for connected mode.</w:t>
      </w:r>
    </w:p>
    <w:p w14:paraId="46AD9CBC" w14:textId="219ADD4F" w:rsidR="003D40C6" w:rsidRDefault="003D40C6" w:rsidP="003D40C6">
      <w:pPr>
        <w:rPr>
          <w:b/>
          <w:bCs/>
        </w:rPr>
      </w:pPr>
      <w:r w:rsidRPr="004D366B">
        <w:rPr>
          <w:b/>
          <w:bCs/>
        </w:rPr>
        <w:t xml:space="preserve">Proposal </w:t>
      </w:r>
      <w:r w:rsidR="00227BE1">
        <w:rPr>
          <w:b/>
          <w:bCs/>
        </w:rPr>
        <w:t>1</w:t>
      </w:r>
      <w:r w:rsidRPr="004D366B">
        <w:rPr>
          <w:b/>
          <w:bCs/>
        </w:rPr>
        <w:t>: RAN4 enhances the scaling factor of CSSF outside gap so that the UE is required to only measure one of the FR2 carriers and share the results among all for each band when carrying out SSB based FR2 L3 measurements.</w:t>
      </w:r>
    </w:p>
    <w:p w14:paraId="3C71AA88" w14:textId="77777777" w:rsidR="00E945E5" w:rsidRPr="00F95D30" w:rsidRDefault="00E945E5" w:rsidP="00E945E5">
      <w:pPr>
        <w:rPr>
          <w:b/>
          <w:bCs/>
        </w:rPr>
      </w:pPr>
      <w:r w:rsidRPr="00F95D30">
        <w:rPr>
          <w:b/>
          <w:bCs/>
        </w:rPr>
        <w:t xml:space="preserve">Proposal 2: Regarding NR-DC, </w:t>
      </w:r>
      <w:r>
        <w:rPr>
          <w:b/>
          <w:bCs/>
        </w:rPr>
        <w:t>requirements follow CA cases</w:t>
      </w:r>
      <w:r w:rsidRPr="00F95D30">
        <w:rPr>
          <w:b/>
          <w:bCs/>
        </w:rPr>
        <w:t>.</w:t>
      </w:r>
    </w:p>
    <w:p w14:paraId="0D62BB35" w14:textId="165D5686" w:rsidR="003D40C6" w:rsidRPr="002B6216" w:rsidRDefault="003D40C6" w:rsidP="003D40C6">
      <w:pPr>
        <w:rPr>
          <w:b/>
          <w:bCs/>
        </w:rPr>
      </w:pPr>
      <w:r w:rsidRPr="002B6216">
        <w:rPr>
          <w:b/>
          <w:bCs/>
        </w:rPr>
        <w:t xml:space="preserve">Proposal </w:t>
      </w:r>
      <w:r w:rsidR="00F95D30">
        <w:rPr>
          <w:b/>
          <w:bCs/>
        </w:rPr>
        <w:t>3</w:t>
      </w:r>
      <w:r w:rsidRPr="002B6216">
        <w:rPr>
          <w:b/>
          <w:bCs/>
        </w:rPr>
        <w:t>: Deprioritize EN-DC scope in this work item.</w:t>
      </w:r>
    </w:p>
    <w:p w14:paraId="0F869E2E" w14:textId="77777777" w:rsidR="00F01182" w:rsidRPr="00146B4F" w:rsidRDefault="00F01182" w:rsidP="00F01182">
      <w:pPr>
        <w:pStyle w:val="Heading1"/>
      </w:pPr>
      <w:r w:rsidRPr="00146B4F">
        <w:t>References</w:t>
      </w:r>
    </w:p>
    <w:p w14:paraId="440E29CC" w14:textId="30000D7D" w:rsidR="0035238C" w:rsidRDefault="009F16C0" w:rsidP="00536CC1">
      <w:pPr>
        <w:widowControl w:val="0"/>
        <w:numPr>
          <w:ilvl w:val="0"/>
          <w:numId w:val="1"/>
        </w:numPr>
        <w:jc w:val="both"/>
      </w:pPr>
      <w:r>
        <w:t>RP-24083</w:t>
      </w:r>
      <w:r w:rsidR="00C33812">
        <w:t>0</w:t>
      </w:r>
      <w:r>
        <w:t xml:space="preserve">, </w:t>
      </w:r>
      <w:r w:rsidR="00C33812" w:rsidRPr="00C33812">
        <w:t>New WID: WI resulting from discussion on RRM enhancements</w:t>
      </w:r>
      <w:r w:rsidR="00211DED">
        <w:t>, Moderator (vivo)</w:t>
      </w:r>
    </w:p>
    <w:p w14:paraId="55BB63D0" w14:textId="67C2181E" w:rsidR="006F73CA" w:rsidRDefault="009244C7" w:rsidP="00536CC1">
      <w:pPr>
        <w:widowControl w:val="0"/>
        <w:numPr>
          <w:ilvl w:val="0"/>
          <w:numId w:val="1"/>
        </w:numPr>
        <w:jc w:val="both"/>
      </w:pPr>
      <w:r>
        <w:t>R4-24</w:t>
      </w:r>
      <w:r w:rsidR="00227BE1">
        <w:t>10260</w:t>
      </w:r>
      <w:r>
        <w:t xml:space="preserve">, </w:t>
      </w:r>
      <w:r w:rsidR="00227BE1" w:rsidRPr="00227BE1">
        <w:t>Way Forward for [111][228] NR_RRM_Ph5</w:t>
      </w:r>
      <w:r>
        <w:t>, Apple</w:t>
      </w:r>
    </w:p>
    <w:sectPr w:rsidR="006F73CA" w:rsidSect="00D148AD">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39" w:code="9"/>
      <w:pgMar w:top="1267" w:right="1138" w:bottom="994" w:left="1138" w:header="619"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B2ECD6" w14:textId="77777777" w:rsidR="00FA7DFA" w:rsidRDefault="00FA7DFA" w:rsidP="00F01182">
      <w:pPr>
        <w:spacing w:before="0" w:after="0"/>
      </w:pPr>
      <w:r>
        <w:separator/>
      </w:r>
    </w:p>
  </w:endnote>
  <w:endnote w:type="continuationSeparator" w:id="0">
    <w:p w14:paraId="692526C9" w14:textId="77777777" w:rsidR="00FA7DFA" w:rsidRDefault="00FA7DFA" w:rsidP="00F01182">
      <w:pPr>
        <w:spacing w:before="0" w:after="0"/>
      </w:pPr>
      <w:r>
        <w:continuationSeparator/>
      </w:r>
    </w:p>
  </w:endnote>
  <w:endnote w:type="continuationNotice" w:id="1">
    <w:p w14:paraId="3142A70B" w14:textId="77777777" w:rsidR="00FA7DFA" w:rsidRDefault="00FA7DF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F9F2ED" w14:textId="77777777" w:rsidR="006A16AF" w:rsidRDefault="006A16AF"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6A16AF" w:rsidRDefault="006A16AF" w:rsidP="000B0B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6A16B0" w14:textId="77777777" w:rsidR="006A16AF" w:rsidRPr="00DB1239" w:rsidRDefault="006A16AF"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83252D" w14:textId="77777777" w:rsidR="006A16AF" w:rsidRDefault="006A16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283F15" w14:textId="77777777" w:rsidR="00FA7DFA" w:rsidRDefault="00FA7DFA" w:rsidP="00F01182">
      <w:pPr>
        <w:spacing w:before="0" w:after="0"/>
      </w:pPr>
      <w:r>
        <w:separator/>
      </w:r>
    </w:p>
  </w:footnote>
  <w:footnote w:type="continuationSeparator" w:id="0">
    <w:p w14:paraId="5015F094" w14:textId="77777777" w:rsidR="00FA7DFA" w:rsidRDefault="00FA7DFA" w:rsidP="00F01182">
      <w:pPr>
        <w:spacing w:before="0" w:after="0"/>
      </w:pPr>
      <w:r>
        <w:continuationSeparator/>
      </w:r>
    </w:p>
  </w:footnote>
  <w:footnote w:type="continuationNotice" w:id="1">
    <w:p w14:paraId="4BB8D958" w14:textId="77777777" w:rsidR="00FA7DFA" w:rsidRDefault="00FA7DFA">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C3E17A" w14:textId="77777777" w:rsidR="006A16AF" w:rsidRDefault="006A16A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142E80" w14:textId="77777777" w:rsidR="006A16AF" w:rsidRDefault="006A16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CC5FA0" w14:textId="77777777" w:rsidR="006A16AF" w:rsidRDefault="006A16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133A5"/>
    <w:multiLevelType w:val="hybridMultilevel"/>
    <w:tmpl w:val="FE720B64"/>
    <w:lvl w:ilvl="0" w:tplc="4844E112">
      <w:start w:val="1"/>
      <w:numFmt w:val="bullet"/>
      <w:lvlText w:val="•"/>
      <w:lvlJc w:val="left"/>
      <w:pPr>
        <w:tabs>
          <w:tab w:val="num" w:pos="720"/>
        </w:tabs>
        <w:ind w:left="720" w:hanging="360"/>
      </w:pPr>
      <w:rPr>
        <w:rFonts w:ascii="Arial" w:hAnsi="Arial" w:hint="default"/>
      </w:rPr>
    </w:lvl>
    <w:lvl w:ilvl="1" w:tplc="265CFC6E">
      <w:numFmt w:val="bullet"/>
      <w:lvlText w:val="•"/>
      <w:lvlJc w:val="left"/>
      <w:pPr>
        <w:tabs>
          <w:tab w:val="num" w:pos="1440"/>
        </w:tabs>
        <w:ind w:left="1440" w:hanging="360"/>
      </w:pPr>
      <w:rPr>
        <w:rFonts w:ascii="Arial" w:hAnsi="Arial" w:hint="default"/>
      </w:rPr>
    </w:lvl>
    <w:lvl w:ilvl="2" w:tplc="C8D87EEC">
      <w:numFmt w:val="bullet"/>
      <w:lvlText w:val="•"/>
      <w:lvlJc w:val="left"/>
      <w:pPr>
        <w:tabs>
          <w:tab w:val="num" w:pos="2160"/>
        </w:tabs>
        <w:ind w:left="2160" w:hanging="360"/>
      </w:pPr>
      <w:rPr>
        <w:rFonts w:ascii="Arial" w:hAnsi="Arial" w:hint="default"/>
      </w:rPr>
    </w:lvl>
    <w:lvl w:ilvl="3" w:tplc="C6566A98" w:tentative="1">
      <w:start w:val="1"/>
      <w:numFmt w:val="bullet"/>
      <w:lvlText w:val="•"/>
      <w:lvlJc w:val="left"/>
      <w:pPr>
        <w:tabs>
          <w:tab w:val="num" w:pos="2880"/>
        </w:tabs>
        <w:ind w:left="2880" w:hanging="360"/>
      </w:pPr>
      <w:rPr>
        <w:rFonts w:ascii="Arial" w:hAnsi="Arial" w:hint="default"/>
      </w:rPr>
    </w:lvl>
    <w:lvl w:ilvl="4" w:tplc="E95A9F60" w:tentative="1">
      <w:start w:val="1"/>
      <w:numFmt w:val="bullet"/>
      <w:lvlText w:val="•"/>
      <w:lvlJc w:val="left"/>
      <w:pPr>
        <w:tabs>
          <w:tab w:val="num" w:pos="3600"/>
        </w:tabs>
        <w:ind w:left="3600" w:hanging="360"/>
      </w:pPr>
      <w:rPr>
        <w:rFonts w:ascii="Arial" w:hAnsi="Arial" w:hint="default"/>
      </w:rPr>
    </w:lvl>
    <w:lvl w:ilvl="5" w:tplc="B5AAE5F4" w:tentative="1">
      <w:start w:val="1"/>
      <w:numFmt w:val="bullet"/>
      <w:lvlText w:val="•"/>
      <w:lvlJc w:val="left"/>
      <w:pPr>
        <w:tabs>
          <w:tab w:val="num" w:pos="4320"/>
        </w:tabs>
        <w:ind w:left="4320" w:hanging="360"/>
      </w:pPr>
      <w:rPr>
        <w:rFonts w:ascii="Arial" w:hAnsi="Arial" w:hint="default"/>
      </w:rPr>
    </w:lvl>
    <w:lvl w:ilvl="6" w:tplc="6ED6A4B6" w:tentative="1">
      <w:start w:val="1"/>
      <w:numFmt w:val="bullet"/>
      <w:lvlText w:val="•"/>
      <w:lvlJc w:val="left"/>
      <w:pPr>
        <w:tabs>
          <w:tab w:val="num" w:pos="5040"/>
        </w:tabs>
        <w:ind w:left="5040" w:hanging="360"/>
      </w:pPr>
      <w:rPr>
        <w:rFonts w:ascii="Arial" w:hAnsi="Arial" w:hint="default"/>
      </w:rPr>
    </w:lvl>
    <w:lvl w:ilvl="7" w:tplc="5B205D3E" w:tentative="1">
      <w:start w:val="1"/>
      <w:numFmt w:val="bullet"/>
      <w:lvlText w:val="•"/>
      <w:lvlJc w:val="left"/>
      <w:pPr>
        <w:tabs>
          <w:tab w:val="num" w:pos="5760"/>
        </w:tabs>
        <w:ind w:left="5760" w:hanging="360"/>
      </w:pPr>
      <w:rPr>
        <w:rFonts w:ascii="Arial" w:hAnsi="Arial" w:hint="default"/>
      </w:rPr>
    </w:lvl>
    <w:lvl w:ilvl="8" w:tplc="9078B15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721CF0"/>
    <w:multiLevelType w:val="hybridMultilevel"/>
    <w:tmpl w:val="4116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3"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F194161"/>
    <w:multiLevelType w:val="hybridMultilevel"/>
    <w:tmpl w:val="72F4675E"/>
    <w:lvl w:ilvl="0" w:tplc="0F4AF88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CF0E98"/>
    <w:multiLevelType w:val="hybridMultilevel"/>
    <w:tmpl w:val="156E9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E035C"/>
    <w:multiLevelType w:val="hybridMultilevel"/>
    <w:tmpl w:val="2070BAB4"/>
    <w:lvl w:ilvl="0" w:tplc="FBEAD5A8">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624BD1"/>
    <w:multiLevelType w:val="hybridMultilevel"/>
    <w:tmpl w:val="E9FE575E"/>
    <w:lvl w:ilvl="0" w:tplc="5AAAC1C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5044F0"/>
    <w:multiLevelType w:val="hybridMultilevel"/>
    <w:tmpl w:val="9BC0807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0928BD30">
      <w:numFmt w:val="bullet"/>
      <w:lvlText w:val="-"/>
      <w:lvlJc w:val="left"/>
      <w:pPr>
        <w:ind w:left="2160" w:hanging="360"/>
      </w:pPr>
      <w:rPr>
        <w:rFonts w:ascii="Times New Roman" w:eastAsia="SimSun" w:hAnsi="Times New Roman" w:cs="Times New Roman"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3CCB06E2"/>
    <w:multiLevelType w:val="hybridMultilevel"/>
    <w:tmpl w:val="9D8A3C8C"/>
    <w:lvl w:ilvl="0" w:tplc="25F0D8B6">
      <w:start w:val="1"/>
      <w:numFmt w:val="bullet"/>
      <w:lvlText w:val="•"/>
      <w:lvlJc w:val="left"/>
      <w:pPr>
        <w:tabs>
          <w:tab w:val="num" w:pos="220"/>
        </w:tabs>
        <w:ind w:left="220" w:hanging="360"/>
      </w:pPr>
      <w:rPr>
        <w:rFonts w:ascii="Arial" w:hAnsi="Arial" w:hint="default"/>
      </w:rPr>
    </w:lvl>
    <w:lvl w:ilvl="1" w:tplc="3D5696BA">
      <w:start w:val="110"/>
      <w:numFmt w:val="bullet"/>
      <w:lvlText w:val="–"/>
      <w:lvlJc w:val="left"/>
      <w:pPr>
        <w:tabs>
          <w:tab w:val="num" w:pos="940"/>
        </w:tabs>
        <w:ind w:left="940" w:hanging="360"/>
      </w:pPr>
      <w:rPr>
        <w:rFonts w:ascii="Arial" w:hAnsi="Arial" w:hint="default"/>
      </w:rPr>
    </w:lvl>
    <w:lvl w:ilvl="2" w:tplc="FD205EF6" w:tentative="1">
      <w:start w:val="1"/>
      <w:numFmt w:val="bullet"/>
      <w:lvlText w:val="•"/>
      <w:lvlJc w:val="left"/>
      <w:pPr>
        <w:tabs>
          <w:tab w:val="num" w:pos="1660"/>
        </w:tabs>
        <w:ind w:left="1660" w:hanging="360"/>
      </w:pPr>
      <w:rPr>
        <w:rFonts w:ascii="Arial" w:hAnsi="Arial" w:hint="default"/>
      </w:rPr>
    </w:lvl>
    <w:lvl w:ilvl="3" w:tplc="7D9C5D84" w:tentative="1">
      <w:start w:val="1"/>
      <w:numFmt w:val="bullet"/>
      <w:lvlText w:val="•"/>
      <w:lvlJc w:val="left"/>
      <w:pPr>
        <w:tabs>
          <w:tab w:val="num" w:pos="2380"/>
        </w:tabs>
        <w:ind w:left="2380" w:hanging="360"/>
      </w:pPr>
      <w:rPr>
        <w:rFonts w:ascii="Arial" w:hAnsi="Arial" w:hint="default"/>
      </w:rPr>
    </w:lvl>
    <w:lvl w:ilvl="4" w:tplc="E3A843BC" w:tentative="1">
      <w:start w:val="1"/>
      <w:numFmt w:val="bullet"/>
      <w:lvlText w:val="•"/>
      <w:lvlJc w:val="left"/>
      <w:pPr>
        <w:tabs>
          <w:tab w:val="num" w:pos="3100"/>
        </w:tabs>
        <w:ind w:left="3100" w:hanging="360"/>
      </w:pPr>
      <w:rPr>
        <w:rFonts w:ascii="Arial" w:hAnsi="Arial" w:hint="default"/>
      </w:rPr>
    </w:lvl>
    <w:lvl w:ilvl="5" w:tplc="0F326308" w:tentative="1">
      <w:start w:val="1"/>
      <w:numFmt w:val="bullet"/>
      <w:lvlText w:val="•"/>
      <w:lvlJc w:val="left"/>
      <w:pPr>
        <w:tabs>
          <w:tab w:val="num" w:pos="3820"/>
        </w:tabs>
        <w:ind w:left="3820" w:hanging="360"/>
      </w:pPr>
      <w:rPr>
        <w:rFonts w:ascii="Arial" w:hAnsi="Arial" w:hint="default"/>
      </w:rPr>
    </w:lvl>
    <w:lvl w:ilvl="6" w:tplc="A41C6332" w:tentative="1">
      <w:start w:val="1"/>
      <w:numFmt w:val="bullet"/>
      <w:lvlText w:val="•"/>
      <w:lvlJc w:val="left"/>
      <w:pPr>
        <w:tabs>
          <w:tab w:val="num" w:pos="4540"/>
        </w:tabs>
        <w:ind w:left="4540" w:hanging="360"/>
      </w:pPr>
      <w:rPr>
        <w:rFonts w:ascii="Arial" w:hAnsi="Arial" w:hint="default"/>
      </w:rPr>
    </w:lvl>
    <w:lvl w:ilvl="7" w:tplc="FB883370" w:tentative="1">
      <w:start w:val="1"/>
      <w:numFmt w:val="bullet"/>
      <w:lvlText w:val="•"/>
      <w:lvlJc w:val="left"/>
      <w:pPr>
        <w:tabs>
          <w:tab w:val="num" w:pos="5260"/>
        </w:tabs>
        <w:ind w:left="5260" w:hanging="360"/>
      </w:pPr>
      <w:rPr>
        <w:rFonts w:ascii="Arial" w:hAnsi="Arial" w:hint="default"/>
      </w:rPr>
    </w:lvl>
    <w:lvl w:ilvl="8" w:tplc="9BC43FB2" w:tentative="1">
      <w:start w:val="1"/>
      <w:numFmt w:val="bullet"/>
      <w:lvlText w:val="•"/>
      <w:lvlJc w:val="left"/>
      <w:pPr>
        <w:tabs>
          <w:tab w:val="num" w:pos="5980"/>
        </w:tabs>
        <w:ind w:left="5980" w:hanging="360"/>
      </w:pPr>
      <w:rPr>
        <w:rFonts w:ascii="Arial" w:hAnsi="Arial" w:hint="default"/>
      </w:rPr>
    </w:lvl>
  </w:abstractNum>
  <w:abstractNum w:abstractNumId="12" w15:restartNumberingAfterBreak="0">
    <w:nsid w:val="412153AC"/>
    <w:multiLevelType w:val="hybridMultilevel"/>
    <w:tmpl w:val="E532570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67274F"/>
    <w:multiLevelType w:val="hybridMultilevel"/>
    <w:tmpl w:val="66DA2290"/>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46503F97"/>
    <w:multiLevelType w:val="hybridMultilevel"/>
    <w:tmpl w:val="3EB0404A"/>
    <w:lvl w:ilvl="0" w:tplc="C06C9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1C349E"/>
    <w:multiLevelType w:val="hybridMultilevel"/>
    <w:tmpl w:val="B5063F82"/>
    <w:lvl w:ilvl="0" w:tplc="6644AB4A">
      <w:start w:val="1"/>
      <w:numFmt w:val="decimal"/>
      <w:lvlText w:val="[%1]"/>
      <w:lvlJc w:val="left"/>
      <w:pPr>
        <w:ind w:left="562" w:hanging="420"/>
      </w:pPr>
      <w:rPr>
        <w:rFonts w:hint="eastAsia"/>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16"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cs="Times New Roman" w:hint="default"/>
      </w:rPr>
    </w:lvl>
    <w:lvl w:ilvl="1" w:tplc="113C858E">
      <w:start w:val="1"/>
      <w:numFmt w:val="bullet"/>
      <w:lvlText w:val="•"/>
      <w:lvlJc w:val="left"/>
      <w:pPr>
        <w:tabs>
          <w:tab w:val="num" w:pos="1080"/>
        </w:tabs>
        <w:ind w:left="1080" w:hanging="360"/>
      </w:pPr>
      <w:rPr>
        <w:rFonts w:ascii="Arial" w:hAnsi="Arial" w:cs="Times New Roman" w:hint="default"/>
      </w:rPr>
    </w:lvl>
    <w:lvl w:ilvl="2" w:tplc="34CA9E76">
      <w:numFmt w:val="bullet"/>
      <w:lvlText w:val="•"/>
      <w:lvlJc w:val="left"/>
      <w:pPr>
        <w:tabs>
          <w:tab w:val="num" w:pos="1800"/>
        </w:tabs>
        <w:ind w:left="1800" w:hanging="360"/>
      </w:pPr>
      <w:rPr>
        <w:rFonts w:ascii="Arial" w:hAnsi="Arial" w:cs="Times New Roman" w:hint="default"/>
      </w:rPr>
    </w:lvl>
    <w:lvl w:ilvl="3" w:tplc="A4362D0E">
      <w:start w:val="1"/>
      <w:numFmt w:val="bullet"/>
      <w:lvlText w:val="•"/>
      <w:lvlJc w:val="left"/>
      <w:pPr>
        <w:tabs>
          <w:tab w:val="num" w:pos="2520"/>
        </w:tabs>
        <w:ind w:left="2520" w:hanging="360"/>
      </w:pPr>
      <w:rPr>
        <w:rFonts w:ascii="Arial" w:hAnsi="Arial" w:cs="Times New Roman" w:hint="default"/>
      </w:rPr>
    </w:lvl>
    <w:lvl w:ilvl="4" w:tplc="D806EBA4">
      <w:start w:val="1"/>
      <w:numFmt w:val="bullet"/>
      <w:lvlText w:val="•"/>
      <w:lvlJc w:val="left"/>
      <w:pPr>
        <w:tabs>
          <w:tab w:val="num" w:pos="3240"/>
        </w:tabs>
        <w:ind w:left="3240" w:hanging="360"/>
      </w:pPr>
      <w:rPr>
        <w:rFonts w:ascii="Arial" w:hAnsi="Arial" w:cs="Times New Roman" w:hint="default"/>
      </w:rPr>
    </w:lvl>
    <w:lvl w:ilvl="5" w:tplc="B8C4DA0A">
      <w:start w:val="1"/>
      <w:numFmt w:val="bullet"/>
      <w:lvlText w:val="•"/>
      <w:lvlJc w:val="left"/>
      <w:pPr>
        <w:tabs>
          <w:tab w:val="num" w:pos="3960"/>
        </w:tabs>
        <w:ind w:left="3960" w:hanging="360"/>
      </w:pPr>
      <w:rPr>
        <w:rFonts w:ascii="Arial" w:hAnsi="Arial" w:cs="Times New Roman" w:hint="default"/>
      </w:rPr>
    </w:lvl>
    <w:lvl w:ilvl="6" w:tplc="6532A95C">
      <w:start w:val="1"/>
      <w:numFmt w:val="bullet"/>
      <w:lvlText w:val="•"/>
      <w:lvlJc w:val="left"/>
      <w:pPr>
        <w:tabs>
          <w:tab w:val="num" w:pos="4680"/>
        </w:tabs>
        <w:ind w:left="4680" w:hanging="360"/>
      </w:pPr>
      <w:rPr>
        <w:rFonts w:ascii="Arial" w:hAnsi="Arial" w:cs="Times New Roman" w:hint="default"/>
      </w:rPr>
    </w:lvl>
    <w:lvl w:ilvl="7" w:tplc="D396BE54">
      <w:start w:val="1"/>
      <w:numFmt w:val="bullet"/>
      <w:lvlText w:val="•"/>
      <w:lvlJc w:val="left"/>
      <w:pPr>
        <w:tabs>
          <w:tab w:val="num" w:pos="5400"/>
        </w:tabs>
        <w:ind w:left="5400" w:hanging="360"/>
      </w:pPr>
      <w:rPr>
        <w:rFonts w:ascii="Arial" w:hAnsi="Arial" w:cs="Times New Roman" w:hint="default"/>
      </w:rPr>
    </w:lvl>
    <w:lvl w:ilvl="8" w:tplc="2CF04F14">
      <w:start w:val="1"/>
      <w:numFmt w:val="bullet"/>
      <w:lvlText w:val="•"/>
      <w:lvlJc w:val="left"/>
      <w:pPr>
        <w:tabs>
          <w:tab w:val="num" w:pos="6120"/>
        </w:tabs>
        <w:ind w:left="6120" w:hanging="360"/>
      </w:pPr>
      <w:rPr>
        <w:rFonts w:ascii="Arial" w:hAnsi="Arial" w:cs="Times New Roman" w:hint="default"/>
      </w:rPr>
    </w:lvl>
  </w:abstractNum>
  <w:abstractNum w:abstractNumId="17" w15:restartNumberingAfterBreak="0">
    <w:nsid w:val="4D8B2493"/>
    <w:multiLevelType w:val="hybridMultilevel"/>
    <w:tmpl w:val="A0766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D6781C"/>
    <w:multiLevelType w:val="hybridMultilevel"/>
    <w:tmpl w:val="3EA4A07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9" w15:restartNumberingAfterBreak="0">
    <w:nsid w:val="52B835A4"/>
    <w:multiLevelType w:val="hybridMultilevel"/>
    <w:tmpl w:val="14BA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762539"/>
    <w:multiLevelType w:val="hybridMultilevel"/>
    <w:tmpl w:val="482AC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411110"/>
    <w:multiLevelType w:val="hybridMultilevel"/>
    <w:tmpl w:val="3C168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DAC5BBC"/>
    <w:multiLevelType w:val="hybridMultilevel"/>
    <w:tmpl w:val="648A5AFA"/>
    <w:lvl w:ilvl="0" w:tplc="E23C91E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D12ECC"/>
    <w:multiLevelType w:val="multilevel"/>
    <w:tmpl w:val="7A2C6FBC"/>
    <w:lvl w:ilvl="0">
      <w:start w:val="1"/>
      <w:numFmt w:val="decimal"/>
      <w:pStyle w:val="Heading1"/>
      <w:lvlText w:val="%1"/>
      <w:lvlJc w:val="left"/>
      <w:pPr>
        <w:ind w:left="432" w:hanging="432"/>
      </w:pPr>
    </w:lvl>
    <w:lvl w:ilvl="1">
      <w:start w:val="1"/>
      <w:numFmt w:val="decimal"/>
      <w:pStyle w:val="Heading2"/>
      <w:lvlText w:val="%1.%2"/>
      <w:lvlJc w:val="left"/>
      <w:pPr>
        <w:ind w:left="5255"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6118258D"/>
    <w:multiLevelType w:val="hybridMultilevel"/>
    <w:tmpl w:val="19E82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67267C66"/>
    <w:multiLevelType w:val="hybridMultilevel"/>
    <w:tmpl w:val="0A5A73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29" w15:restartNumberingAfterBreak="0">
    <w:nsid w:val="6F8757E4"/>
    <w:multiLevelType w:val="hybridMultilevel"/>
    <w:tmpl w:val="22CC7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343335"/>
    <w:multiLevelType w:val="hybridMultilevel"/>
    <w:tmpl w:val="50D6B4F0"/>
    <w:lvl w:ilvl="0" w:tplc="C06C9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DC7363"/>
    <w:multiLevelType w:val="hybridMultilevel"/>
    <w:tmpl w:val="BF140E40"/>
    <w:lvl w:ilvl="0" w:tplc="0B143844">
      <w:start w:val="1"/>
      <w:numFmt w:val="bullet"/>
      <w:lvlText w:val=""/>
      <w:lvlJc w:val="left"/>
      <w:pPr>
        <w:ind w:left="720" w:hanging="360"/>
      </w:pPr>
      <w:rPr>
        <w:rFonts w:ascii="Symbol" w:hAnsi="Symbol" w:hint="default"/>
        <w:vertAlign w:val="baseli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AF5336"/>
    <w:multiLevelType w:val="hybridMultilevel"/>
    <w:tmpl w:val="65863454"/>
    <w:lvl w:ilvl="0" w:tplc="38F2E9F8">
      <w:start w:val="1"/>
      <w:numFmt w:val="bullet"/>
      <w:lvlText w:val=""/>
      <w:lvlJc w:val="left"/>
      <w:pPr>
        <w:ind w:left="1640" w:hanging="360"/>
      </w:pPr>
      <w:rPr>
        <w:rFonts w:ascii="Symbol" w:hAnsi="Symbol"/>
      </w:rPr>
    </w:lvl>
    <w:lvl w:ilvl="1" w:tplc="D05297B6">
      <w:start w:val="1"/>
      <w:numFmt w:val="bullet"/>
      <w:lvlText w:val=""/>
      <w:lvlJc w:val="left"/>
      <w:pPr>
        <w:ind w:left="2360" w:hanging="360"/>
      </w:pPr>
      <w:rPr>
        <w:rFonts w:ascii="Symbol" w:hAnsi="Symbol"/>
      </w:rPr>
    </w:lvl>
    <w:lvl w:ilvl="2" w:tplc="61B28818">
      <w:start w:val="1"/>
      <w:numFmt w:val="bullet"/>
      <w:lvlText w:val=""/>
      <w:lvlJc w:val="left"/>
      <w:pPr>
        <w:ind w:left="1640" w:hanging="360"/>
      </w:pPr>
      <w:rPr>
        <w:rFonts w:ascii="Symbol" w:hAnsi="Symbol"/>
      </w:rPr>
    </w:lvl>
    <w:lvl w:ilvl="3" w:tplc="8B1C22C0">
      <w:start w:val="1"/>
      <w:numFmt w:val="bullet"/>
      <w:lvlText w:val=""/>
      <w:lvlJc w:val="left"/>
      <w:pPr>
        <w:ind w:left="1640" w:hanging="360"/>
      </w:pPr>
      <w:rPr>
        <w:rFonts w:ascii="Symbol" w:hAnsi="Symbol"/>
      </w:rPr>
    </w:lvl>
    <w:lvl w:ilvl="4" w:tplc="6050697A">
      <w:start w:val="1"/>
      <w:numFmt w:val="bullet"/>
      <w:lvlText w:val=""/>
      <w:lvlJc w:val="left"/>
      <w:pPr>
        <w:ind w:left="1640" w:hanging="360"/>
      </w:pPr>
      <w:rPr>
        <w:rFonts w:ascii="Symbol" w:hAnsi="Symbol"/>
      </w:rPr>
    </w:lvl>
    <w:lvl w:ilvl="5" w:tplc="EB68AD14">
      <w:start w:val="1"/>
      <w:numFmt w:val="bullet"/>
      <w:lvlText w:val=""/>
      <w:lvlJc w:val="left"/>
      <w:pPr>
        <w:ind w:left="1640" w:hanging="360"/>
      </w:pPr>
      <w:rPr>
        <w:rFonts w:ascii="Symbol" w:hAnsi="Symbol"/>
      </w:rPr>
    </w:lvl>
    <w:lvl w:ilvl="6" w:tplc="8088443C">
      <w:start w:val="1"/>
      <w:numFmt w:val="bullet"/>
      <w:lvlText w:val=""/>
      <w:lvlJc w:val="left"/>
      <w:pPr>
        <w:ind w:left="1640" w:hanging="360"/>
      </w:pPr>
      <w:rPr>
        <w:rFonts w:ascii="Symbol" w:hAnsi="Symbol"/>
      </w:rPr>
    </w:lvl>
    <w:lvl w:ilvl="7" w:tplc="05981AC6">
      <w:start w:val="1"/>
      <w:numFmt w:val="bullet"/>
      <w:lvlText w:val=""/>
      <w:lvlJc w:val="left"/>
      <w:pPr>
        <w:ind w:left="1640" w:hanging="360"/>
      </w:pPr>
      <w:rPr>
        <w:rFonts w:ascii="Symbol" w:hAnsi="Symbol"/>
      </w:rPr>
    </w:lvl>
    <w:lvl w:ilvl="8" w:tplc="97E80502">
      <w:start w:val="1"/>
      <w:numFmt w:val="bullet"/>
      <w:lvlText w:val=""/>
      <w:lvlJc w:val="left"/>
      <w:pPr>
        <w:ind w:left="1640" w:hanging="360"/>
      </w:pPr>
      <w:rPr>
        <w:rFonts w:ascii="Symbol" w:hAnsi="Symbol"/>
      </w:rPr>
    </w:lvl>
  </w:abstractNum>
  <w:abstractNum w:abstractNumId="33"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56514189">
    <w:abstractNumId w:val="5"/>
  </w:num>
  <w:num w:numId="2" w16cid:durableId="1965572078">
    <w:abstractNumId w:val="23"/>
  </w:num>
  <w:num w:numId="3" w16cid:durableId="1750498845">
    <w:abstractNumId w:val="26"/>
  </w:num>
  <w:num w:numId="4" w16cid:durableId="543520260">
    <w:abstractNumId w:val="20"/>
  </w:num>
  <w:num w:numId="5" w16cid:durableId="1359502119">
    <w:abstractNumId w:val="12"/>
  </w:num>
  <w:num w:numId="6" w16cid:durableId="1793940456">
    <w:abstractNumId w:val="29"/>
  </w:num>
  <w:num w:numId="7" w16cid:durableId="537012164">
    <w:abstractNumId w:val="11"/>
  </w:num>
  <w:num w:numId="8" w16cid:durableId="2097706601">
    <w:abstractNumId w:val="0"/>
  </w:num>
  <w:num w:numId="9" w16cid:durableId="1310327117">
    <w:abstractNumId w:val="14"/>
  </w:num>
  <w:num w:numId="10" w16cid:durableId="1636716512">
    <w:abstractNumId w:val="30"/>
  </w:num>
  <w:num w:numId="11" w16cid:durableId="715861796">
    <w:abstractNumId w:val="1"/>
  </w:num>
  <w:num w:numId="12" w16cid:durableId="839199737">
    <w:abstractNumId w:val="3"/>
  </w:num>
  <w:num w:numId="13" w16cid:durableId="1818840559">
    <w:abstractNumId w:val="25"/>
  </w:num>
  <w:num w:numId="14" w16cid:durableId="1427581886">
    <w:abstractNumId w:val="15"/>
  </w:num>
  <w:num w:numId="15" w16cid:durableId="1860504042">
    <w:abstractNumId w:val="24"/>
  </w:num>
  <w:num w:numId="16" w16cid:durableId="1765879093">
    <w:abstractNumId w:val="17"/>
  </w:num>
  <w:num w:numId="17" w16cid:durableId="483280718">
    <w:abstractNumId w:val="31"/>
  </w:num>
  <w:num w:numId="18" w16cid:durableId="1885829372">
    <w:abstractNumId w:val="18"/>
  </w:num>
  <w:num w:numId="19" w16cid:durableId="513542627">
    <w:abstractNumId w:val="7"/>
  </w:num>
  <w:num w:numId="20" w16cid:durableId="754546545">
    <w:abstractNumId w:val="19"/>
  </w:num>
  <w:num w:numId="21" w16cid:durableId="693922844">
    <w:abstractNumId w:val="23"/>
  </w:num>
  <w:num w:numId="22" w16cid:durableId="488254912">
    <w:abstractNumId w:val="23"/>
  </w:num>
  <w:num w:numId="23" w16cid:durableId="313418068">
    <w:abstractNumId w:val="23"/>
  </w:num>
  <w:num w:numId="24" w16cid:durableId="1253708625">
    <w:abstractNumId w:val="23"/>
  </w:num>
  <w:num w:numId="25" w16cid:durableId="1868327563">
    <w:abstractNumId w:val="23"/>
  </w:num>
  <w:num w:numId="26" w16cid:durableId="403720693">
    <w:abstractNumId w:val="24"/>
  </w:num>
  <w:num w:numId="27" w16cid:durableId="979964366">
    <w:abstractNumId w:val="9"/>
  </w:num>
  <w:num w:numId="28" w16cid:durableId="1145703836">
    <w:abstractNumId w:val="27"/>
  </w:num>
  <w:num w:numId="29" w16cid:durableId="1350718329">
    <w:abstractNumId w:val="28"/>
  </w:num>
  <w:num w:numId="30" w16cid:durableId="1228496372">
    <w:abstractNumId w:val="13"/>
  </w:num>
  <w:num w:numId="31" w16cid:durableId="1234511580">
    <w:abstractNumId w:val="8"/>
  </w:num>
  <w:num w:numId="32" w16cid:durableId="2116704110">
    <w:abstractNumId w:val="22"/>
  </w:num>
  <w:num w:numId="33" w16cid:durableId="110284698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82539282">
    <w:abstractNumId w:val="32"/>
  </w:num>
  <w:num w:numId="35" w16cid:durableId="80837908">
    <w:abstractNumId w:val="6"/>
  </w:num>
  <w:num w:numId="36" w16cid:durableId="1173380315">
    <w:abstractNumId w:val="26"/>
  </w:num>
  <w:num w:numId="37" w16cid:durableId="553003575">
    <w:abstractNumId w:val="21"/>
  </w:num>
  <w:num w:numId="38" w16cid:durableId="1103723103">
    <w:abstractNumId w:val="10"/>
  </w:num>
  <w:num w:numId="39" w16cid:durableId="1855418476">
    <w:abstractNumId w:val="16"/>
  </w:num>
  <w:num w:numId="40" w16cid:durableId="524758151">
    <w:abstractNumId w:val="33"/>
  </w:num>
  <w:num w:numId="41" w16cid:durableId="4664319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oofState w:grammar="clean"/>
  <w:defaultTabStop w:val="708"/>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03A78"/>
    <w:rsid w:val="00004793"/>
    <w:rsid w:val="00004BC1"/>
    <w:rsid w:val="00005DEA"/>
    <w:rsid w:val="00010354"/>
    <w:rsid w:val="00011672"/>
    <w:rsid w:val="00013964"/>
    <w:rsid w:val="000139CF"/>
    <w:rsid w:val="00015316"/>
    <w:rsid w:val="000170EA"/>
    <w:rsid w:val="00017D70"/>
    <w:rsid w:val="00020083"/>
    <w:rsid w:val="00021794"/>
    <w:rsid w:val="000227F3"/>
    <w:rsid w:val="00022BC9"/>
    <w:rsid w:val="00023CD9"/>
    <w:rsid w:val="000251B1"/>
    <w:rsid w:val="0002538D"/>
    <w:rsid w:val="00025ABE"/>
    <w:rsid w:val="00025B81"/>
    <w:rsid w:val="00030E5B"/>
    <w:rsid w:val="00032E03"/>
    <w:rsid w:val="000340DF"/>
    <w:rsid w:val="0003473D"/>
    <w:rsid w:val="00036272"/>
    <w:rsid w:val="00040C74"/>
    <w:rsid w:val="0004199B"/>
    <w:rsid w:val="00043C34"/>
    <w:rsid w:val="00044068"/>
    <w:rsid w:val="00045451"/>
    <w:rsid w:val="0004566A"/>
    <w:rsid w:val="00051A28"/>
    <w:rsid w:val="00054310"/>
    <w:rsid w:val="000572F6"/>
    <w:rsid w:val="000573F5"/>
    <w:rsid w:val="00060600"/>
    <w:rsid w:val="00060BFF"/>
    <w:rsid w:val="00063B38"/>
    <w:rsid w:val="000649F9"/>
    <w:rsid w:val="00064F15"/>
    <w:rsid w:val="00065555"/>
    <w:rsid w:val="00071054"/>
    <w:rsid w:val="00072896"/>
    <w:rsid w:val="00073829"/>
    <w:rsid w:val="00074DFE"/>
    <w:rsid w:val="00076CE6"/>
    <w:rsid w:val="00077CF9"/>
    <w:rsid w:val="00081385"/>
    <w:rsid w:val="00081866"/>
    <w:rsid w:val="00084065"/>
    <w:rsid w:val="00095052"/>
    <w:rsid w:val="000A115B"/>
    <w:rsid w:val="000A2FFB"/>
    <w:rsid w:val="000A50D0"/>
    <w:rsid w:val="000A7415"/>
    <w:rsid w:val="000A7F24"/>
    <w:rsid w:val="000A7FA8"/>
    <w:rsid w:val="000B0076"/>
    <w:rsid w:val="000B0577"/>
    <w:rsid w:val="000B0BF2"/>
    <w:rsid w:val="000B2FF1"/>
    <w:rsid w:val="000B3D16"/>
    <w:rsid w:val="000B5EF9"/>
    <w:rsid w:val="000B7484"/>
    <w:rsid w:val="000C3C28"/>
    <w:rsid w:val="000C591A"/>
    <w:rsid w:val="000C7CEA"/>
    <w:rsid w:val="000D7804"/>
    <w:rsid w:val="000E1A0A"/>
    <w:rsid w:val="000E6EF7"/>
    <w:rsid w:val="000E7B3A"/>
    <w:rsid w:val="000F0FA7"/>
    <w:rsid w:val="00103BF4"/>
    <w:rsid w:val="001040B8"/>
    <w:rsid w:val="00105F8F"/>
    <w:rsid w:val="00106A95"/>
    <w:rsid w:val="00107875"/>
    <w:rsid w:val="00107AE1"/>
    <w:rsid w:val="00112CB5"/>
    <w:rsid w:val="0011347F"/>
    <w:rsid w:val="00113F61"/>
    <w:rsid w:val="00115392"/>
    <w:rsid w:val="00115F4E"/>
    <w:rsid w:val="0011631D"/>
    <w:rsid w:val="001204C9"/>
    <w:rsid w:val="001252BA"/>
    <w:rsid w:val="00125DD7"/>
    <w:rsid w:val="0012691F"/>
    <w:rsid w:val="001271E2"/>
    <w:rsid w:val="00130616"/>
    <w:rsid w:val="001316B6"/>
    <w:rsid w:val="00131A6F"/>
    <w:rsid w:val="0013660D"/>
    <w:rsid w:val="00136953"/>
    <w:rsid w:val="00143777"/>
    <w:rsid w:val="00152119"/>
    <w:rsid w:val="00152979"/>
    <w:rsid w:val="00152F4F"/>
    <w:rsid w:val="00152FC7"/>
    <w:rsid w:val="001530D5"/>
    <w:rsid w:val="001544E7"/>
    <w:rsid w:val="00154B82"/>
    <w:rsid w:val="00155382"/>
    <w:rsid w:val="001557AB"/>
    <w:rsid w:val="0016005A"/>
    <w:rsid w:val="001607E8"/>
    <w:rsid w:val="00165100"/>
    <w:rsid w:val="001651E3"/>
    <w:rsid w:val="001702CD"/>
    <w:rsid w:val="00171501"/>
    <w:rsid w:val="00172A34"/>
    <w:rsid w:val="00173E8F"/>
    <w:rsid w:val="00175234"/>
    <w:rsid w:val="001769DC"/>
    <w:rsid w:val="001776C0"/>
    <w:rsid w:val="00180CFE"/>
    <w:rsid w:val="00181552"/>
    <w:rsid w:val="00181F62"/>
    <w:rsid w:val="00182B74"/>
    <w:rsid w:val="00183468"/>
    <w:rsid w:val="0018394C"/>
    <w:rsid w:val="0018463B"/>
    <w:rsid w:val="00185B35"/>
    <w:rsid w:val="00185EBB"/>
    <w:rsid w:val="0018602E"/>
    <w:rsid w:val="00187BAF"/>
    <w:rsid w:val="00190898"/>
    <w:rsid w:val="00191599"/>
    <w:rsid w:val="00191E1E"/>
    <w:rsid w:val="00193306"/>
    <w:rsid w:val="001936BF"/>
    <w:rsid w:val="001950E3"/>
    <w:rsid w:val="00196ACE"/>
    <w:rsid w:val="001977AA"/>
    <w:rsid w:val="001A0FB7"/>
    <w:rsid w:val="001A248D"/>
    <w:rsid w:val="001A5351"/>
    <w:rsid w:val="001A63FD"/>
    <w:rsid w:val="001B0D59"/>
    <w:rsid w:val="001B170B"/>
    <w:rsid w:val="001B4ADD"/>
    <w:rsid w:val="001B7857"/>
    <w:rsid w:val="001B79B4"/>
    <w:rsid w:val="001C072A"/>
    <w:rsid w:val="001C25E3"/>
    <w:rsid w:val="001C2D4A"/>
    <w:rsid w:val="001C50C7"/>
    <w:rsid w:val="001C5DFA"/>
    <w:rsid w:val="001C6111"/>
    <w:rsid w:val="001C7338"/>
    <w:rsid w:val="001D2452"/>
    <w:rsid w:val="001D30A9"/>
    <w:rsid w:val="001D3B76"/>
    <w:rsid w:val="001D3FD8"/>
    <w:rsid w:val="001D5800"/>
    <w:rsid w:val="001D7FB9"/>
    <w:rsid w:val="001E098C"/>
    <w:rsid w:val="001E5AEF"/>
    <w:rsid w:val="001E6AA8"/>
    <w:rsid w:val="001E6C4E"/>
    <w:rsid w:val="001E6FB4"/>
    <w:rsid w:val="001E7235"/>
    <w:rsid w:val="001E73FA"/>
    <w:rsid w:val="001E7C30"/>
    <w:rsid w:val="001F076E"/>
    <w:rsid w:val="001F1ED3"/>
    <w:rsid w:val="001F214A"/>
    <w:rsid w:val="001F4A14"/>
    <w:rsid w:val="001F650C"/>
    <w:rsid w:val="00204AD9"/>
    <w:rsid w:val="00204C52"/>
    <w:rsid w:val="00206FF2"/>
    <w:rsid w:val="002102C7"/>
    <w:rsid w:val="00211DED"/>
    <w:rsid w:val="002132D0"/>
    <w:rsid w:val="00213455"/>
    <w:rsid w:val="0021428A"/>
    <w:rsid w:val="00214690"/>
    <w:rsid w:val="002149A4"/>
    <w:rsid w:val="002150CD"/>
    <w:rsid w:val="00216D58"/>
    <w:rsid w:val="00217D2C"/>
    <w:rsid w:val="002229C9"/>
    <w:rsid w:val="002235D0"/>
    <w:rsid w:val="00224EBA"/>
    <w:rsid w:val="00225226"/>
    <w:rsid w:val="00226EEF"/>
    <w:rsid w:val="00227BE1"/>
    <w:rsid w:val="00230270"/>
    <w:rsid w:val="0023123D"/>
    <w:rsid w:val="002317CE"/>
    <w:rsid w:val="00231B19"/>
    <w:rsid w:val="002361CA"/>
    <w:rsid w:val="0023767E"/>
    <w:rsid w:val="0024009F"/>
    <w:rsid w:val="002460DA"/>
    <w:rsid w:val="002470AD"/>
    <w:rsid w:val="0024750C"/>
    <w:rsid w:val="002501AB"/>
    <w:rsid w:val="00250CB6"/>
    <w:rsid w:val="00251094"/>
    <w:rsid w:val="00253810"/>
    <w:rsid w:val="0025618C"/>
    <w:rsid w:val="002562C7"/>
    <w:rsid w:val="00257BDB"/>
    <w:rsid w:val="00261370"/>
    <w:rsid w:val="002619B2"/>
    <w:rsid w:val="0026404E"/>
    <w:rsid w:val="0026412A"/>
    <w:rsid w:val="00264652"/>
    <w:rsid w:val="002647EB"/>
    <w:rsid w:val="00264AE5"/>
    <w:rsid w:val="002657AA"/>
    <w:rsid w:val="00265ECD"/>
    <w:rsid w:val="00266A28"/>
    <w:rsid w:val="00270245"/>
    <w:rsid w:val="00272062"/>
    <w:rsid w:val="00272524"/>
    <w:rsid w:val="002732EB"/>
    <w:rsid w:val="00276AB5"/>
    <w:rsid w:val="00280090"/>
    <w:rsid w:val="002803DD"/>
    <w:rsid w:val="00281192"/>
    <w:rsid w:val="0028218B"/>
    <w:rsid w:val="00291A4F"/>
    <w:rsid w:val="0029322C"/>
    <w:rsid w:val="00294742"/>
    <w:rsid w:val="00296A2A"/>
    <w:rsid w:val="002979ED"/>
    <w:rsid w:val="002A153C"/>
    <w:rsid w:val="002A1DA3"/>
    <w:rsid w:val="002A2418"/>
    <w:rsid w:val="002A3061"/>
    <w:rsid w:val="002A3FC8"/>
    <w:rsid w:val="002A50F5"/>
    <w:rsid w:val="002A5DE5"/>
    <w:rsid w:val="002B00D5"/>
    <w:rsid w:val="002B198E"/>
    <w:rsid w:val="002B1B91"/>
    <w:rsid w:val="002B26BD"/>
    <w:rsid w:val="002B3F75"/>
    <w:rsid w:val="002B503C"/>
    <w:rsid w:val="002B5535"/>
    <w:rsid w:val="002B5545"/>
    <w:rsid w:val="002B6216"/>
    <w:rsid w:val="002C16EF"/>
    <w:rsid w:val="002C4D71"/>
    <w:rsid w:val="002C4FD1"/>
    <w:rsid w:val="002C565E"/>
    <w:rsid w:val="002C6111"/>
    <w:rsid w:val="002C774D"/>
    <w:rsid w:val="002D54A8"/>
    <w:rsid w:val="002D5AF3"/>
    <w:rsid w:val="002D7BB7"/>
    <w:rsid w:val="002E1458"/>
    <w:rsid w:val="002E1907"/>
    <w:rsid w:val="002E2C6B"/>
    <w:rsid w:val="002E3267"/>
    <w:rsid w:val="002E5AC5"/>
    <w:rsid w:val="002E5DFE"/>
    <w:rsid w:val="002E6C80"/>
    <w:rsid w:val="002F0CF0"/>
    <w:rsid w:val="002F200B"/>
    <w:rsid w:val="002F6E94"/>
    <w:rsid w:val="00302348"/>
    <w:rsid w:val="00302C9C"/>
    <w:rsid w:val="0030306A"/>
    <w:rsid w:val="00303329"/>
    <w:rsid w:val="00304F73"/>
    <w:rsid w:val="00305933"/>
    <w:rsid w:val="00305ECF"/>
    <w:rsid w:val="00310573"/>
    <w:rsid w:val="00310CC3"/>
    <w:rsid w:val="003121AB"/>
    <w:rsid w:val="003128D1"/>
    <w:rsid w:val="00312F3D"/>
    <w:rsid w:val="00313845"/>
    <w:rsid w:val="00315915"/>
    <w:rsid w:val="00315F96"/>
    <w:rsid w:val="0031728A"/>
    <w:rsid w:val="0031734A"/>
    <w:rsid w:val="003234D1"/>
    <w:rsid w:val="00324CF8"/>
    <w:rsid w:val="00330780"/>
    <w:rsid w:val="00330CD2"/>
    <w:rsid w:val="0033182F"/>
    <w:rsid w:val="0033597E"/>
    <w:rsid w:val="00335F25"/>
    <w:rsid w:val="00340741"/>
    <w:rsid w:val="00341635"/>
    <w:rsid w:val="003439AE"/>
    <w:rsid w:val="00344B9F"/>
    <w:rsid w:val="003452A6"/>
    <w:rsid w:val="00345F55"/>
    <w:rsid w:val="00347765"/>
    <w:rsid w:val="003502D8"/>
    <w:rsid w:val="00350DFF"/>
    <w:rsid w:val="00351C74"/>
    <w:rsid w:val="0035238C"/>
    <w:rsid w:val="00353E96"/>
    <w:rsid w:val="0035405F"/>
    <w:rsid w:val="00356F72"/>
    <w:rsid w:val="003618A5"/>
    <w:rsid w:val="00361C8B"/>
    <w:rsid w:val="00366FC4"/>
    <w:rsid w:val="00367812"/>
    <w:rsid w:val="0037200E"/>
    <w:rsid w:val="00372225"/>
    <w:rsid w:val="00372C1E"/>
    <w:rsid w:val="00372D60"/>
    <w:rsid w:val="003775AF"/>
    <w:rsid w:val="00377FBF"/>
    <w:rsid w:val="00381593"/>
    <w:rsid w:val="00381A86"/>
    <w:rsid w:val="00382F03"/>
    <w:rsid w:val="00384A88"/>
    <w:rsid w:val="0039103B"/>
    <w:rsid w:val="0039119D"/>
    <w:rsid w:val="00391250"/>
    <w:rsid w:val="003919C9"/>
    <w:rsid w:val="003954E2"/>
    <w:rsid w:val="003956F4"/>
    <w:rsid w:val="00395ECB"/>
    <w:rsid w:val="00397650"/>
    <w:rsid w:val="003A0629"/>
    <w:rsid w:val="003A2F84"/>
    <w:rsid w:val="003A4E4B"/>
    <w:rsid w:val="003A5428"/>
    <w:rsid w:val="003A6D75"/>
    <w:rsid w:val="003A7A0D"/>
    <w:rsid w:val="003B2145"/>
    <w:rsid w:val="003B26A0"/>
    <w:rsid w:val="003B6912"/>
    <w:rsid w:val="003B7E48"/>
    <w:rsid w:val="003C23B5"/>
    <w:rsid w:val="003C2F62"/>
    <w:rsid w:val="003C3D9B"/>
    <w:rsid w:val="003C41C9"/>
    <w:rsid w:val="003C4DA9"/>
    <w:rsid w:val="003C6058"/>
    <w:rsid w:val="003C7291"/>
    <w:rsid w:val="003C767B"/>
    <w:rsid w:val="003C781F"/>
    <w:rsid w:val="003D0DDF"/>
    <w:rsid w:val="003D22B2"/>
    <w:rsid w:val="003D3452"/>
    <w:rsid w:val="003D40C6"/>
    <w:rsid w:val="003D5309"/>
    <w:rsid w:val="003D6211"/>
    <w:rsid w:val="003D6940"/>
    <w:rsid w:val="003D7C52"/>
    <w:rsid w:val="003E21BE"/>
    <w:rsid w:val="003E363B"/>
    <w:rsid w:val="003E3FF2"/>
    <w:rsid w:val="003E4176"/>
    <w:rsid w:val="003E598B"/>
    <w:rsid w:val="003E5C23"/>
    <w:rsid w:val="003F1084"/>
    <w:rsid w:val="003F3F4C"/>
    <w:rsid w:val="003F4934"/>
    <w:rsid w:val="003F6923"/>
    <w:rsid w:val="0040357B"/>
    <w:rsid w:val="0040587F"/>
    <w:rsid w:val="00405DE3"/>
    <w:rsid w:val="00405F9A"/>
    <w:rsid w:val="004107A7"/>
    <w:rsid w:val="004175F6"/>
    <w:rsid w:val="00420AF7"/>
    <w:rsid w:val="00422B4A"/>
    <w:rsid w:val="00422DA1"/>
    <w:rsid w:val="00424D9A"/>
    <w:rsid w:val="00425DB6"/>
    <w:rsid w:val="004269BA"/>
    <w:rsid w:val="00426E1E"/>
    <w:rsid w:val="0042717A"/>
    <w:rsid w:val="00431297"/>
    <w:rsid w:val="00431B06"/>
    <w:rsid w:val="00432E87"/>
    <w:rsid w:val="004345D9"/>
    <w:rsid w:val="0043477B"/>
    <w:rsid w:val="00435B85"/>
    <w:rsid w:val="004402C2"/>
    <w:rsid w:val="0044159C"/>
    <w:rsid w:val="00447406"/>
    <w:rsid w:val="00450660"/>
    <w:rsid w:val="004520A8"/>
    <w:rsid w:val="0045308B"/>
    <w:rsid w:val="004536D1"/>
    <w:rsid w:val="004563D3"/>
    <w:rsid w:val="00461289"/>
    <w:rsid w:val="00464AF9"/>
    <w:rsid w:val="00466DFC"/>
    <w:rsid w:val="0047160C"/>
    <w:rsid w:val="004720DF"/>
    <w:rsid w:val="00472713"/>
    <w:rsid w:val="00472CA0"/>
    <w:rsid w:val="00474F18"/>
    <w:rsid w:val="00476AF6"/>
    <w:rsid w:val="00476CA6"/>
    <w:rsid w:val="0047720E"/>
    <w:rsid w:val="00477531"/>
    <w:rsid w:val="00477C25"/>
    <w:rsid w:val="00480980"/>
    <w:rsid w:val="00480BE5"/>
    <w:rsid w:val="00481713"/>
    <w:rsid w:val="00481716"/>
    <w:rsid w:val="00481C96"/>
    <w:rsid w:val="004836DA"/>
    <w:rsid w:val="004851C8"/>
    <w:rsid w:val="00485F3B"/>
    <w:rsid w:val="00486333"/>
    <w:rsid w:val="00490826"/>
    <w:rsid w:val="00490C92"/>
    <w:rsid w:val="00495930"/>
    <w:rsid w:val="004A08D9"/>
    <w:rsid w:val="004A09B6"/>
    <w:rsid w:val="004A19B3"/>
    <w:rsid w:val="004A3FF8"/>
    <w:rsid w:val="004A6646"/>
    <w:rsid w:val="004A6ACE"/>
    <w:rsid w:val="004A6F1F"/>
    <w:rsid w:val="004B051D"/>
    <w:rsid w:val="004B100C"/>
    <w:rsid w:val="004B169B"/>
    <w:rsid w:val="004B191B"/>
    <w:rsid w:val="004B59ED"/>
    <w:rsid w:val="004B5BB0"/>
    <w:rsid w:val="004B5D0D"/>
    <w:rsid w:val="004B693F"/>
    <w:rsid w:val="004B7470"/>
    <w:rsid w:val="004D0917"/>
    <w:rsid w:val="004D366B"/>
    <w:rsid w:val="004D61A0"/>
    <w:rsid w:val="004D6FC6"/>
    <w:rsid w:val="004E0BBA"/>
    <w:rsid w:val="004E13DD"/>
    <w:rsid w:val="004E3E0E"/>
    <w:rsid w:val="004E6575"/>
    <w:rsid w:val="004E7707"/>
    <w:rsid w:val="004F0F73"/>
    <w:rsid w:val="004F1400"/>
    <w:rsid w:val="004F25D2"/>
    <w:rsid w:val="004F477A"/>
    <w:rsid w:val="004F50AC"/>
    <w:rsid w:val="004F60A7"/>
    <w:rsid w:val="00500DB8"/>
    <w:rsid w:val="00502AFC"/>
    <w:rsid w:val="00504023"/>
    <w:rsid w:val="005050F6"/>
    <w:rsid w:val="0050718C"/>
    <w:rsid w:val="00510D0B"/>
    <w:rsid w:val="00512AA1"/>
    <w:rsid w:val="00512E06"/>
    <w:rsid w:val="00515A08"/>
    <w:rsid w:val="00516C3D"/>
    <w:rsid w:val="00517C88"/>
    <w:rsid w:val="00521A7B"/>
    <w:rsid w:val="00523459"/>
    <w:rsid w:val="00523630"/>
    <w:rsid w:val="005276FB"/>
    <w:rsid w:val="00527E13"/>
    <w:rsid w:val="00530EE0"/>
    <w:rsid w:val="00533B3F"/>
    <w:rsid w:val="0053439B"/>
    <w:rsid w:val="0053560F"/>
    <w:rsid w:val="00536CC1"/>
    <w:rsid w:val="00537E99"/>
    <w:rsid w:val="00537F0F"/>
    <w:rsid w:val="00543E95"/>
    <w:rsid w:val="00545586"/>
    <w:rsid w:val="00545744"/>
    <w:rsid w:val="005468E3"/>
    <w:rsid w:val="0054776E"/>
    <w:rsid w:val="00547F4D"/>
    <w:rsid w:val="00551564"/>
    <w:rsid w:val="00551C57"/>
    <w:rsid w:val="0055372B"/>
    <w:rsid w:val="00553847"/>
    <w:rsid w:val="005544E6"/>
    <w:rsid w:val="005611DB"/>
    <w:rsid w:val="00562C34"/>
    <w:rsid w:val="00562C9B"/>
    <w:rsid w:val="00562CA8"/>
    <w:rsid w:val="0057078C"/>
    <w:rsid w:val="005710EE"/>
    <w:rsid w:val="00573D57"/>
    <w:rsid w:val="00575849"/>
    <w:rsid w:val="005833B8"/>
    <w:rsid w:val="00585691"/>
    <w:rsid w:val="00587B85"/>
    <w:rsid w:val="00590CF7"/>
    <w:rsid w:val="005911AD"/>
    <w:rsid w:val="005941F3"/>
    <w:rsid w:val="00595268"/>
    <w:rsid w:val="00595995"/>
    <w:rsid w:val="00596ADC"/>
    <w:rsid w:val="005A014A"/>
    <w:rsid w:val="005A2A0C"/>
    <w:rsid w:val="005A4F65"/>
    <w:rsid w:val="005A563F"/>
    <w:rsid w:val="005A708F"/>
    <w:rsid w:val="005A7B24"/>
    <w:rsid w:val="005A7C96"/>
    <w:rsid w:val="005B104C"/>
    <w:rsid w:val="005B3C5D"/>
    <w:rsid w:val="005B6889"/>
    <w:rsid w:val="005B797C"/>
    <w:rsid w:val="005C2D1C"/>
    <w:rsid w:val="005C3392"/>
    <w:rsid w:val="005C7C89"/>
    <w:rsid w:val="005D0CD6"/>
    <w:rsid w:val="005D1F13"/>
    <w:rsid w:val="005D2809"/>
    <w:rsid w:val="005D31A5"/>
    <w:rsid w:val="005D33D1"/>
    <w:rsid w:val="005D3ED4"/>
    <w:rsid w:val="005D43B2"/>
    <w:rsid w:val="005D5094"/>
    <w:rsid w:val="005D7F3E"/>
    <w:rsid w:val="005E1EFD"/>
    <w:rsid w:val="005E3592"/>
    <w:rsid w:val="005E502E"/>
    <w:rsid w:val="005F1BDE"/>
    <w:rsid w:val="005F6B7F"/>
    <w:rsid w:val="00604C04"/>
    <w:rsid w:val="00604C3A"/>
    <w:rsid w:val="006100EE"/>
    <w:rsid w:val="006115D3"/>
    <w:rsid w:val="006127ED"/>
    <w:rsid w:val="00612984"/>
    <w:rsid w:val="006132B7"/>
    <w:rsid w:val="006137E4"/>
    <w:rsid w:val="00614A62"/>
    <w:rsid w:val="006150C1"/>
    <w:rsid w:val="006160EC"/>
    <w:rsid w:val="006238CD"/>
    <w:rsid w:val="006263E0"/>
    <w:rsid w:val="006277E0"/>
    <w:rsid w:val="00627A3B"/>
    <w:rsid w:val="006303C0"/>
    <w:rsid w:val="006303F7"/>
    <w:rsid w:val="00631458"/>
    <w:rsid w:val="00631941"/>
    <w:rsid w:val="006319AF"/>
    <w:rsid w:val="006400E7"/>
    <w:rsid w:val="00642F8D"/>
    <w:rsid w:val="006432C2"/>
    <w:rsid w:val="00645DC9"/>
    <w:rsid w:val="00646566"/>
    <w:rsid w:val="006504A5"/>
    <w:rsid w:val="00651C90"/>
    <w:rsid w:val="006573CC"/>
    <w:rsid w:val="006611F4"/>
    <w:rsid w:val="00662C22"/>
    <w:rsid w:val="006658EA"/>
    <w:rsid w:val="00666C1E"/>
    <w:rsid w:val="006674A5"/>
    <w:rsid w:val="00673259"/>
    <w:rsid w:val="0067528D"/>
    <w:rsid w:val="006773C1"/>
    <w:rsid w:val="00677A32"/>
    <w:rsid w:val="00681E57"/>
    <w:rsid w:val="006826A0"/>
    <w:rsid w:val="0068313D"/>
    <w:rsid w:val="00683C44"/>
    <w:rsid w:val="006843EF"/>
    <w:rsid w:val="006850C8"/>
    <w:rsid w:val="00690C75"/>
    <w:rsid w:val="00693D73"/>
    <w:rsid w:val="006A16AF"/>
    <w:rsid w:val="006A5F2D"/>
    <w:rsid w:val="006B0C48"/>
    <w:rsid w:val="006B1BBE"/>
    <w:rsid w:val="006B1E1D"/>
    <w:rsid w:val="006B2967"/>
    <w:rsid w:val="006B6301"/>
    <w:rsid w:val="006B65B1"/>
    <w:rsid w:val="006C12A3"/>
    <w:rsid w:val="006C2507"/>
    <w:rsid w:val="006C4B90"/>
    <w:rsid w:val="006C51BB"/>
    <w:rsid w:val="006C7A01"/>
    <w:rsid w:val="006D23BC"/>
    <w:rsid w:val="006D2CA1"/>
    <w:rsid w:val="006D4C0E"/>
    <w:rsid w:val="006D5777"/>
    <w:rsid w:val="006D5BEA"/>
    <w:rsid w:val="006D76D9"/>
    <w:rsid w:val="006E4647"/>
    <w:rsid w:val="006F1D08"/>
    <w:rsid w:val="006F1D30"/>
    <w:rsid w:val="006F590B"/>
    <w:rsid w:val="006F5C1A"/>
    <w:rsid w:val="006F73CA"/>
    <w:rsid w:val="00701619"/>
    <w:rsid w:val="00704B1F"/>
    <w:rsid w:val="00712CD4"/>
    <w:rsid w:val="00720243"/>
    <w:rsid w:val="00721420"/>
    <w:rsid w:val="00721C02"/>
    <w:rsid w:val="00721E81"/>
    <w:rsid w:val="007239B6"/>
    <w:rsid w:val="00724487"/>
    <w:rsid w:val="00724BED"/>
    <w:rsid w:val="00725A9D"/>
    <w:rsid w:val="00725B69"/>
    <w:rsid w:val="00725BA6"/>
    <w:rsid w:val="00726C71"/>
    <w:rsid w:val="00726D68"/>
    <w:rsid w:val="0072759D"/>
    <w:rsid w:val="00732A7B"/>
    <w:rsid w:val="00732D44"/>
    <w:rsid w:val="00736B99"/>
    <w:rsid w:val="0073741D"/>
    <w:rsid w:val="007473A3"/>
    <w:rsid w:val="00752376"/>
    <w:rsid w:val="007529E8"/>
    <w:rsid w:val="00762BD0"/>
    <w:rsid w:val="00767065"/>
    <w:rsid w:val="0077379B"/>
    <w:rsid w:val="00780851"/>
    <w:rsid w:val="00780A46"/>
    <w:rsid w:val="00780CB5"/>
    <w:rsid w:val="00781FCA"/>
    <w:rsid w:val="00782360"/>
    <w:rsid w:val="007876D5"/>
    <w:rsid w:val="007906B8"/>
    <w:rsid w:val="007948D4"/>
    <w:rsid w:val="00796CAB"/>
    <w:rsid w:val="007975BA"/>
    <w:rsid w:val="007A0A95"/>
    <w:rsid w:val="007A14A1"/>
    <w:rsid w:val="007A22E5"/>
    <w:rsid w:val="007A45CE"/>
    <w:rsid w:val="007B03C9"/>
    <w:rsid w:val="007B2FB4"/>
    <w:rsid w:val="007C1E2C"/>
    <w:rsid w:val="007C1FD1"/>
    <w:rsid w:val="007C395A"/>
    <w:rsid w:val="007D284A"/>
    <w:rsid w:val="007D3E2A"/>
    <w:rsid w:val="007D6681"/>
    <w:rsid w:val="007E00C1"/>
    <w:rsid w:val="007E243B"/>
    <w:rsid w:val="007E3B33"/>
    <w:rsid w:val="007E5580"/>
    <w:rsid w:val="007E6D85"/>
    <w:rsid w:val="007F2670"/>
    <w:rsid w:val="007F340B"/>
    <w:rsid w:val="007F5315"/>
    <w:rsid w:val="007F7EE1"/>
    <w:rsid w:val="008015C4"/>
    <w:rsid w:val="00802000"/>
    <w:rsid w:val="0080362B"/>
    <w:rsid w:val="00803A5E"/>
    <w:rsid w:val="00803B55"/>
    <w:rsid w:val="00803FB7"/>
    <w:rsid w:val="00804196"/>
    <w:rsid w:val="00804207"/>
    <w:rsid w:val="00804A4D"/>
    <w:rsid w:val="00804CC8"/>
    <w:rsid w:val="00806321"/>
    <w:rsid w:val="00811961"/>
    <w:rsid w:val="00811E0C"/>
    <w:rsid w:val="00815F9C"/>
    <w:rsid w:val="008224AF"/>
    <w:rsid w:val="008244E0"/>
    <w:rsid w:val="00826118"/>
    <w:rsid w:val="00830D69"/>
    <w:rsid w:val="0083109D"/>
    <w:rsid w:val="0083144C"/>
    <w:rsid w:val="00833FDE"/>
    <w:rsid w:val="0083619D"/>
    <w:rsid w:val="00836887"/>
    <w:rsid w:val="008376F8"/>
    <w:rsid w:val="00840947"/>
    <w:rsid w:val="0084253B"/>
    <w:rsid w:val="00842589"/>
    <w:rsid w:val="008466B7"/>
    <w:rsid w:val="00846F42"/>
    <w:rsid w:val="00847D21"/>
    <w:rsid w:val="0085014F"/>
    <w:rsid w:val="00851E91"/>
    <w:rsid w:val="008520CB"/>
    <w:rsid w:val="00852F61"/>
    <w:rsid w:val="008557CE"/>
    <w:rsid w:val="008579C9"/>
    <w:rsid w:val="008604F8"/>
    <w:rsid w:val="00870322"/>
    <w:rsid w:val="00871EF4"/>
    <w:rsid w:val="00871FE1"/>
    <w:rsid w:val="008765C3"/>
    <w:rsid w:val="00876695"/>
    <w:rsid w:val="008804B7"/>
    <w:rsid w:val="00881EF4"/>
    <w:rsid w:val="008823F4"/>
    <w:rsid w:val="0088390E"/>
    <w:rsid w:val="00883BF1"/>
    <w:rsid w:val="0088466C"/>
    <w:rsid w:val="00884864"/>
    <w:rsid w:val="00886CE3"/>
    <w:rsid w:val="008922C5"/>
    <w:rsid w:val="008952B9"/>
    <w:rsid w:val="0089734D"/>
    <w:rsid w:val="008A1AEB"/>
    <w:rsid w:val="008A39D4"/>
    <w:rsid w:val="008A7479"/>
    <w:rsid w:val="008A765A"/>
    <w:rsid w:val="008B07E2"/>
    <w:rsid w:val="008B28CF"/>
    <w:rsid w:val="008B6006"/>
    <w:rsid w:val="008B6914"/>
    <w:rsid w:val="008C166C"/>
    <w:rsid w:val="008C36E7"/>
    <w:rsid w:val="008C4C70"/>
    <w:rsid w:val="008C64EF"/>
    <w:rsid w:val="008C6931"/>
    <w:rsid w:val="008C737F"/>
    <w:rsid w:val="008D01AD"/>
    <w:rsid w:val="008D0476"/>
    <w:rsid w:val="008D0E7D"/>
    <w:rsid w:val="008D1656"/>
    <w:rsid w:val="008D39AB"/>
    <w:rsid w:val="008D594C"/>
    <w:rsid w:val="008D5EFB"/>
    <w:rsid w:val="008D7C3B"/>
    <w:rsid w:val="008E0CD9"/>
    <w:rsid w:val="008E1360"/>
    <w:rsid w:val="008E3699"/>
    <w:rsid w:val="008E39F0"/>
    <w:rsid w:val="008E4985"/>
    <w:rsid w:val="008E49E0"/>
    <w:rsid w:val="008E4BE0"/>
    <w:rsid w:val="008E624A"/>
    <w:rsid w:val="008F16E6"/>
    <w:rsid w:val="008F64EB"/>
    <w:rsid w:val="00900892"/>
    <w:rsid w:val="00905604"/>
    <w:rsid w:val="00906ABA"/>
    <w:rsid w:val="0091207F"/>
    <w:rsid w:val="009123FD"/>
    <w:rsid w:val="00912AF8"/>
    <w:rsid w:val="00917836"/>
    <w:rsid w:val="00921CD3"/>
    <w:rsid w:val="009233A6"/>
    <w:rsid w:val="009244C7"/>
    <w:rsid w:val="009258DD"/>
    <w:rsid w:val="00925E76"/>
    <w:rsid w:val="0092766A"/>
    <w:rsid w:val="00927F65"/>
    <w:rsid w:val="00930D82"/>
    <w:rsid w:val="00932908"/>
    <w:rsid w:val="00932F7B"/>
    <w:rsid w:val="009335D9"/>
    <w:rsid w:val="0093423E"/>
    <w:rsid w:val="00936DE1"/>
    <w:rsid w:val="00941089"/>
    <w:rsid w:val="0094154F"/>
    <w:rsid w:val="0094190F"/>
    <w:rsid w:val="00941F19"/>
    <w:rsid w:val="00941FFE"/>
    <w:rsid w:val="009436B2"/>
    <w:rsid w:val="00944055"/>
    <w:rsid w:val="00944952"/>
    <w:rsid w:val="00946AE2"/>
    <w:rsid w:val="00952073"/>
    <w:rsid w:val="00952824"/>
    <w:rsid w:val="00952E77"/>
    <w:rsid w:val="00952FC5"/>
    <w:rsid w:val="00953EC2"/>
    <w:rsid w:val="00954E38"/>
    <w:rsid w:val="009550C0"/>
    <w:rsid w:val="00955AFF"/>
    <w:rsid w:val="00955E3D"/>
    <w:rsid w:val="009603CC"/>
    <w:rsid w:val="00961D86"/>
    <w:rsid w:val="00963845"/>
    <w:rsid w:val="00963BDA"/>
    <w:rsid w:val="00963D2F"/>
    <w:rsid w:val="00964292"/>
    <w:rsid w:val="00971726"/>
    <w:rsid w:val="009726C8"/>
    <w:rsid w:val="00973778"/>
    <w:rsid w:val="00975FC9"/>
    <w:rsid w:val="00977CFF"/>
    <w:rsid w:val="00977FC2"/>
    <w:rsid w:val="00981E8B"/>
    <w:rsid w:val="009821B5"/>
    <w:rsid w:val="00982F1A"/>
    <w:rsid w:val="0098361A"/>
    <w:rsid w:val="009841C5"/>
    <w:rsid w:val="0098591C"/>
    <w:rsid w:val="00985B99"/>
    <w:rsid w:val="009861E1"/>
    <w:rsid w:val="00987EEF"/>
    <w:rsid w:val="00990C08"/>
    <w:rsid w:val="00990CC4"/>
    <w:rsid w:val="00990DD7"/>
    <w:rsid w:val="00992FAE"/>
    <w:rsid w:val="00993E56"/>
    <w:rsid w:val="0099437F"/>
    <w:rsid w:val="00994521"/>
    <w:rsid w:val="009A1B7E"/>
    <w:rsid w:val="009A3696"/>
    <w:rsid w:val="009A43B9"/>
    <w:rsid w:val="009A4C76"/>
    <w:rsid w:val="009A6C19"/>
    <w:rsid w:val="009B10CD"/>
    <w:rsid w:val="009B2A81"/>
    <w:rsid w:val="009B30A2"/>
    <w:rsid w:val="009B3618"/>
    <w:rsid w:val="009B628D"/>
    <w:rsid w:val="009B6F6B"/>
    <w:rsid w:val="009C16FB"/>
    <w:rsid w:val="009C1770"/>
    <w:rsid w:val="009C1F6F"/>
    <w:rsid w:val="009C27DA"/>
    <w:rsid w:val="009C31C0"/>
    <w:rsid w:val="009C33CA"/>
    <w:rsid w:val="009C33DD"/>
    <w:rsid w:val="009C3C49"/>
    <w:rsid w:val="009C4125"/>
    <w:rsid w:val="009C791A"/>
    <w:rsid w:val="009D0667"/>
    <w:rsid w:val="009D1163"/>
    <w:rsid w:val="009D1AC1"/>
    <w:rsid w:val="009D6577"/>
    <w:rsid w:val="009E061D"/>
    <w:rsid w:val="009E2EA5"/>
    <w:rsid w:val="009E53CC"/>
    <w:rsid w:val="009E69C5"/>
    <w:rsid w:val="009E76ED"/>
    <w:rsid w:val="009F1182"/>
    <w:rsid w:val="009F16C0"/>
    <w:rsid w:val="009F2BC0"/>
    <w:rsid w:val="009F3400"/>
    <w:rsid w:val="009F55FD"/>
    <w:rsid w:val="00A019EF"/>
    <w:rsid w:val="00A03236"/>
    <w:rsid w:val="00A04AD4"/>
    <w:rsid w:val="00A06F4C"/>
    <w:rsid w:val="00A1166F"/>
    <w:rsid w:val="00A15BC0"/>
    <w:rsid w:val="00A20514"/>
    <w:rsid w:val="00A21195"/>
    <w:rsid w:val="00A22F74"/>
    <w:rsid w:val="00A235A7"/>
    <w:rsid w:val="00A25788"/>
    <w:rsid w:val="00A27A44"/>
    <w:rsid w:val="00A33AF6"/>
    <w:rsid w:val="00A34BAD"/>
    <w:rsid w:val="00A42DC3"/>
    <w:rsid w:val="00A43322"/>
    <w:rsid w:val="00A45DC0"/>
    <w:rsid w:val="00A47A6A"/>
    <w:rsid w:val="00A47C50"/>
    <w:rsid w:val="00A47C8E"/>
    <w:rsid w:val="00A53294"/>
    <w:rsid w:val="00A5397B"/>
    <w:rsid w:val="00A540C5"/>
    <w:rsid w:val="00A57FAE"/>
    <w:rsid w:val="00A60E3B"/>
    <w:rsid w:val="00A623F6"/>
    <w:rsid w:val="00A65B6C"/>
    <w:rsid w:val="00A66FE2"/>
    <w:rsid w:val="00A674C8"/>
    <w:rsid w:val="00A677D6"/>
    <w:rsid w:val="00A70703"/>
    <w:rsid w:val="00A70C9E"/>
    <w:rsid w:val="00A70E8A"/>
    <w:rsid w:val="00A7182B"/>
    <w:rsid w:val="00A7346B"/>
    <w:rsid w:val="00A74013"/>
    <w:rsid w:val="00A742F6"/>
    <w:rsid w:val="00A75876"/>
    <w:rsid w:val="00A77FB6"/>
    <w:rsid w:val="00A800C6"/>
    <w:rsid w:val="00A82E25"/>
    <w:rsid w:val="00A83D34"/>
    <w:rsid w:val="00A846A0"/>
    <w:rsid w:val="00A86FE7"/>
    <w:rsid w:val="00A8799D"/>
    <w:rsid w:val="00A9167C"/>
    <w:rsid w:val="00A9198D"/>
    <w:rsid w:val="00A93AB5"/>
    <w:rsid w:val="00A944C4"/>
    <w:rsid w:val="00A95000"/>
    <w:rsid w:val="00AA08E3"/>
    <w:rsid w:val="00AA111A"/>
    <w:rsid w:val="00AA2780"/>
    <w:rsid w:val="00AA4DFB"/>
    <w:rsid w:val="00AA724A"/>
    <w:rsid w:val="00AB081E"/>
    <w:rsid w:val="00AB0D2A"/>
    <w:rsid w:val="00AB2E7B"/>
    <w:rsid w:val="00AB3834"/>
    <w:rsid w:val="00AB466E"/>
    <w:rsid w:val="00AB5954"/>
    <w:rsid w:val="00AB6965"/>
    <w:rsid w:val="00AB6A58"/>
    <w:rsid w:val="00AB6CBD"/>
    <w:rsid w:val="00AB6E3B"/>
    <w:rsid w:val="00AB7E0B"/>
    <w:rsid w:val="00AC57C4"/>
    <w:rsid w:val="00AC5CFF"/>
    <w:rsid w:val="00AC7CEB"/>
    <w:rsid w:val="00AD106A"/>
    <w:rsid w:val="00AD1183"/>
    <w:rsid w:val="00AD5F7A"/>
    <w:rsid w:val="00AE07E7"/>
    <w:rsid w:val="00AE0E4E"/>
    <w:rsid w:val="00AE2DB6"/>
    <w:rsid w:val="00AE32FA"/>
    <w:rsid w:val="00AE3418"/>
    <w:rsid w:val="00AE4AC8"/>
    <w:rsid w:val="00AF0385"/>
    <w:rsid w:val="00AF27E0"/>
    <w:rsid w:val="00AF2E77"/>
    <w:rsid w:val="00AF361A"/>
    <w:rsid w:val="00AF4C94"/>
    <w:rsid w:val="00AF52F7"/>
    <w:rsid w:val="00B01171"/>
    <w:rsid w:val="00B02253"/>
    <w:rsid w:val="00B03D94"/>
    <w:rsid w:val="00B05305"/>
    <w:rsid w:val="00B05576"/>
    <w:rsid w:val="00B11278"/>
    <w:rsid w:val="00B11E4E"/>
    <w:rsid w:val="00B12BCC"/>
    <w:rsid w:val="00B159A8"/>
    <w:rsid w:val="00B20529"/>
    <w:rsid w:val="00B206C3"/>
    <w:rsid w:val="00B21A14"/>
    <w:rsid w:val="00B21FB3"/>
    <w:rsid w:val="00B2412D"/>
    <w:rsid w:val="00B248DA"/>
    <w:rsid w:val="00B25B59"/>
    <w:rsid w:val="00B26222"/>
    <w:rsid w:val="00B2627B"/>
    <w:rsid w:val="00B2719B"/>
    <w:rsid w:val="00B273F1"/>
    <w:rsid w:val="00B27CFE"/>
    <w:rsid w:val="00B30E43"/>
    <w:rsid w:val="00B3332A"/>
    <w:rsid w:val="00B33D16"/>
    <w:rsid w:val="00B34791"/>
    <w:rsid w:val="00B3635F"/>
    <w:rsid w:val="00B379DF"/>
    <w:rsid w:val="00B43A16"/>
    <w:rsid w:val="00B44095"/>
    <w:rsid w:val="00B45435"/>
    <w:rsid w:val="00B46FBD"/>
    <w:rsid w:val="00B4713B"/>
    <w:rsid w:val="00B47363"/>
    <w:rsid w:val="00B47AB5"/>
    <w:rsid w:val="00B5397D"/>
    <w:rsid w:val="00B56C12"/>
    <w:rsid w:val="00B56C5A"/>
    <w:rsid w:val="00B5776C"/>
    <w:rsid w:val="00B62346"/>
    <w:rsid w:val="00B62BA2"/>
    <w:rsid w:val="00B635C8"/>
    <w:rsid w:val="00B635E3"/>
    <w:rsid w:val="00B64147"/>
    <w:rsid w:val="00B65363"/>
    <w:rsid w:val="00B66AAB"/>
    <w:rsid w:val="00B71247"/>
    <w:rsid w:val="00B72FB9"/>
    <w:rsid w:val="00B743B0"/>
    <w:rsid w:val="00B74C12"/>
    <w:rsid w:val="00B75C8C"/>
    <w:rsid w:val="00B76C78"/>
    <w:rsid w:val="00B76D42"/>
    <w:rsid w:val="00B7752C"/>
    <w:rsid w:val="00B87EAC"/>
    <w:rsid w:val="00B912A4"/>
    <w:rsid w:val="00B92BE2"/>
    <w:rsid w:val="00B93380"/>
    <w:rsid w:val="00B93C3E"/>
    <w:rsid w:val="00B93D8F"/>
    <w:rsid w:val="00B94260"/>
    <w:rsid w:val="00B94869"/>
    <w:rsid w:val="00B95EA0"/>
    <w:rsid w:val="00B963FE"/>
    <w:rsid w:val="00B96CE2"/>
    <w:rsid w:val="00BA3E2C"/>
    <w:rsid w:val="00BA53C7"/>
    <w:rsid w:val="00BA5F1E"/>
    <w:rsid w:val="00BA73CB"/>
    <w:rsid w:val="00BA7EFD"/>
    <w:rsid w:val="00BB012E"/>
    <w:rsid w:val="00BB0803"/>
    <w:rsid w:val="00BB0A9B"/>
    <w:rsid w:val="00BB140F"/>
    <w:rsid w:val="00BB1DF6"/>
    <w:rsid w:val="00BB3F09"/>
    <w:rsid w:val="00BB46D0"/>
    <w:rsid w:val="00BC4207"/>
    <w:rsid w:val="00BC6A97"/>
    <w:rsid w:val="00BC72C1"/>
    <w:rsid w:val="00BD1665"/>
    <w:rsid w:val="00BD19AC"/>
    <w:rsid w:val="00BD1E06"/>
    <w:rsid w:val="00BD2FF9"/>
    <w:rsid w:val="00BD39FD"/>
    <w:rsid w:val="00BD5C74"/>
    <w:rsid w:val="00BD6C67"/>
    <w:rsid w:val="00BD7C46"/>
    <w:rsid w:val="00BE1A21"/>
    <w:rsid w:val="00BE1AFB"/>
    <w:rsid w:val="00BE39C8"/>
    <w:rsid w:val="00BE4E62"/>
    <w:rsid w:val="00BE586A"/>
    <w:rsid w:val="00BE7EB9"/>
    <w:rsid w:val="00BF50E8"/>
    <w:rsid w:val="00BF5980"/>
    <w:rsid w:val="00BF6AB0"/>
    <w:rsid w:val="00BF70E8"/>
    <w:rsid w:val="00C029BF"/>
    <w:rsid w:val="00C054A4"/>
    <w:rsid w:val="00C10562"/>
    <w:rsid w:val="00C1451A"/>
    <w:rsid w:val="00C15BCF"/>
    <w:rsid w:val="00C16332"/>
    <w:rsid w:val="00C17056"/>
    <w:rsid w:val="00C17786"/>
    <w:rsid w:val="00C17D39"/>
    <w:rsid w:val="00C25037"/>
    <w:rsid w:val="00C301C3"/>
    <w:rsid w:val="00C33812"/>
    <w:rsid w:val="00C36349"/>
    <w:rsid w:val="00C36EAC"/>
    <w:rsid w:val="00C371C2"/>
    <w:rsid w:val="00C418D2"/>
    <w:rsid w:val="00C430AA"/>
    <w:rsid w:val="00C4453A"/>
    <w:rsid w:val="00C458C9"/>
    <w:rsid w:val="00C45CB0"/>
    <w:rsid w:val="00C4631E"/>
    <w:rsid w:val="00C467F6"/>
    <w:rsid w:val="00C46D7A"/>
    <w:rsid w:val="00C52156"/>
    <w:rsid w:val="00C5325A"/>
    <w:rsid w:val="00C54207"/>
    <w:rsid w:val="00C54BB9"/>
    <w:rsid w:val="00C55C96"/>
    <w:rsid w:val="00C5637D"/>
    <w:rsid w:val="00C57F1B"/>
    <w:rsid w:val="00C6347E"/>
    <w:rsid w:val="00C63A6A"/>
    <w:rsid w:val="00C64EFE"/>
    <w:rsid w:val="00C65043"/>
    <w:rsid w:val="00C65EF3"/>
    <w:rsid w:val="00C6727C"/>
    <w:rsid w:val="00C72435"/>
    <w:rsid w:val="00C73A37"/>
    <w:rsid w:val="00C73D81"/>
    <w:rsid w:val="00C770B9"/>
    <w:rsid w:val="00C77822"/>
    <w:rsid w:val="00C80F48"/>
    <w:rsid w:val="00C83F40"/>
    <w:rsid w:val="00C8500D"/>
    <w:rsid w:val="00C85294"/>
    <w:rsid w:val="00C9028C"/>
    <w:rsid w:val="00C90BF2"/>
    <w:rsid w:val="00C91DFD"/>
    <w:rsid w:val="00C91E72"/>
    <w:rsid w:val="00C92868"/>
    <w:rsid w:val="00C92E0E"/>
    <w:rsid w:val="00C932FB"/>
    <w:rsid w:val="00C94E67"/>
    <w:rsid w:val="00C95812"/>
    <w:rsid w:val="00C96161"/>
    <w:rsid w:val="00C96BDD"/>
    <w:rsid w:val="00C975E0"/>
    <w:rsid w:val="00CA070C"/>
    <w:rsid w:val="00CA076C"/>
    <w:rsid w:val="00CA1F4B"/>
    <w:rsid w:val="00CA20DD"/>
    <w:rsid w:val="00CA2EA2"/>
    <w:rsid w:val="00CA4EF6"/>
    <w:rsid w:val="00CB0298"/>
    <w:rsid w:val="00CB0624"/>
    <w:rsid w:val="00CB1708"/>
    <w:rsid w:val="00CB2B87"/>
    <w:rsid w:val="00CB72D1"/>
    <w:rsid w:val="00CB7EB0"/>
    <w:rsid w:val="00CC2BEC"/>
    <w:rsid w:val="00CC4D30"/>
    <w:rsid w:val="00CC5C2D"/>
    <w:rsid w:val="00CC5F14"/>
    <w:rsid w:val="00CC751F"/>
    <w:rsid w:val="00CC7B28"/>
    <w:rsid w:val="00CD17D6"/>
    <w:rsid w:val="00CD2527"/>
    <w:rsid w:val="00CD276B"/>
    <w:rsid w:val="00CD498C"/>
    <w:rsid w:val="00CD6254"/>
    <w:rsid w:val="00CD6486"/>
    <w:rsid w:val="00CD6DA9"/>
    <w:rsid w:val="00CE002E"/>
    <w:rsid w:val="00CE01F5"/>
    <w:rsid w:val="00CE0C27"/>
    <w:rsid w:val="00CE1205"/>
    <w:rsid w:val="00CE2BC9"/>
    <w:rsid w:val="00CE415E"/>
    <w:rsid w:val="00CE5C33"/>
    <w:rsid w:val="00CE6A2F"/>
    <w:rsid w:val="00CE6DC0"/>
    <w:rsid w:val="00CF1914"/>
    <w:rsid w:val="00CF33B9"/>
    <w:rsid w:val="00D00CC3"/>
    <w:rsid w:val="00D01A52"/>
    <w:rsid w:val="00D02B20"/>
    <w:rsid w:val="00D040B2"/>
    <w:rsid w:val="00D0470E"/>
    <w:rsid w:val="00D07666"/>
    <w:rsid w:val="00D1461D"/>
    <w:rsid w:val="00D148AD"/>
    <w:rsid w:val="00D1737C"/>
    <w:rsid w:val="00D178F0"/>
    <w:rsid w:val="00D17D93"/>
    <w:rsid w:val="00D21BB9"/>
    <w:rsid w:val="00D22634"/>
    <w:rsid w:val="00D22915"/>
    <w:rsid w:val="00D229F0"/>
    <w:rsid w:val="00D254A8"/>
    <w:rsid w:val="00D259A5"/>
    <w:rsid w:val="00D2627F"/>
    <w:rsid w:val="00D26F51"/>
    <w:rsid w:val="00D30325"/>
    <w:rsid w:val="00D31AD3"/>
    <w:rsid w:val="00D335BC"/>
    <w:rsid w:val="00D34BCA"/>
    <w:rsid w:val="00D40F4C"/>
    <w:rsid w:val="00D44A73"/>
    <w:rsid w:val="00D4505C"/>
    <w:rsid w:val="00D451D6"/>
    <w:rsid w:val="00D459D1"/>
    <w:rsid w:val="00D46CEF"/>
    <w:rsid w:val="00D4762C"/>
    <w:rsid w:val="00D5048F"/>
    <w:rsid w:val="00D51296"/>
    <w:rsid w:val="00D51A0E"/>
    <w:rsid w:val="00D55E50"/>
    <w:rsid w:val="00D55E79"/>
    <w:rsid w:val="00D60861"/>
    <w:rsid w:val="00D60FDA"/>
    <w:rsid w:val="00D610C5"/>
    <w:rsid w:val="00D62705"/>
    <w:rsid w:val="00D66BC5"/>
    <w:rsid w:val="00D750BF"/>
    <w:rsid w:val="00D76B45"/>
    <w:rsid w:val="00D824C5"/>
    <w:rsid w:val="00D83984"/>
    <w:rsid w:val="00D83D39"/>
    <w:rsid w:val="00D8410C"/>
    <w:rsid w:val="00D8735B"/>
    <w:rsid w:val="00D87E91"/>
    <w:rsid w:val="00D9234B"/>
    <w:rsid w:val="00D931E4"/>
    <w:rsid w:val="00D93F60"/>
    <w:rsid w:val="00D94A75"/>
    <w:rsid w:val="00DA0830"/>
    <w:rsid w:val="00DA3A8F"/>
    <w:rsid w:val="00DA5F96"/>
    <w:rsid w:val="00DA6789"/>
    <w:rsid w:val="00DA7066"/>
    <w:rsid w:val="00DB1594"/>
    <w:rsid w:val="00DB230B"/>
    <w:rsid w:val="00DB38DC"/>
    <w:rsid w:val="00DB5392"/>
    <w:rsid w:val="00DB79A5"/>
    <w:rsid w:val="00DC0232"/>
    <w:rsid w:val="00DC0415"/>
    <w:rsid w:val="00DC1448"/>
    <w:rsid w:val="00DC1E09"/>
    <w:rsid w:val="00DC2344"/>
    <w:rsid w:val="00DC2FDE"/>
    <w:rsid w:val="00DC3026"/>
    <w:rsid w:val="00DC3348"/>
    <w:rsid w:val="00DC4F34"/>
    <w:rsid w:val="00DC4FEA"/>
    <w:rsid w:val="00DC5785"/>
    <w:rsid w:val="00DD1156"/>
    <w:rsid w:val="00DD1AC2"/>
    <w:rsid w:val="00DD1FD4"/>
    <w:rsid w:val="00DD2512"/>
    <w:rsid w:val="00DD3020"/>
    <w:rsid w:val="00DD3D48"/>
    <w:rsid w:val="00DD4AAD"/>
    <w:rsid w:val="00DD70EB"/>
    <w:rsid w:val="00DE0BFC"/>
    <w:rsid w:val="00DE2717"/>
    <w:rsid w:val="00DE32C4"/>
    <w:rsid w:val="00DE45B9"/>
    <w:rsid w:val="00DF0578"/>
    <w:rsid w:val="00DF2AA1"/>
    <w:rsid w:val="00DF2C14"/>
    <w:rsid w:val="00DF320A"/>
    <w:rsid w:val="00DF4944"/>
    <w:rsid w:val="00DF5ED3"/>
    <w:rsid w:val="00DF68DF"/>
    <w:rsid w:val="00E0211E"/>
    <w:rsid w:val="00E02377"/>
    <w:rsid w:val="00E04FC7"/>
    <w:rsid w:val="00E071CC"/>
    <w:rsid w:val="00E0735E"/>
    <w:rsid w:val="00E07F1B"/>
    <w:rsid w:val="00E145A9"/>
    <w:rsid w:val="00E14A2E"/>
    <w:rsid w:val="00E16034"/>
    <w:rsid w:val="00E163F3"/>
    <w:rsid w:val="00E16CA2"/>
    <w:rsid w:val="00E1747D"/>
    <w:rsid w:val="00E204E1"/>
    <w:rsid w:val="00E21E87"/>
    <w:rsid w:val="00E21FEB"/>
    <w:rsid w:val="00E239D4"/>
    <w:rsid w:val="00E2606B"/>
    <w:rsid w:val="00E3131E"/>
    <w:rsid w:val="00E31A14"/>
    <w:rsid w:val="00E31E10"/>
    <w:rsid w:val="00E32800"/>
    <w:rsid w:val="00E33408"/>
    <w:rsid w:val="00E33664"/>
    <w:rsid w:val="00E354AE"/>
    <w:rsid w:val="00E35AD7"/>
    <w:rsid w:val="00E402DF"/>
    <w:rsid w:val="00E408C6"/>
    <w:rsid w:val="00E41A36"/>
    <w:rsid w:val="00E44293"/>
    <w:rsid w:val="00E44F50"/>
    <w:rsid w:val="00E45253"/>
    <w:rsid w:val="00E46580"/>
    <w:rsid w:val="00E530B6"/>
    <w:rsid w:val="00E616D4"/>
    <w:rsid w:val="00E62411"/>
    <w:rsid w:val="00E65832"/>
    <w:rsid w:val="00E7069A"/>
    <w:rsid w:val="00E7365F"/>
    <w:rsid w:val="00E74515"/>
    <w:rsid w:val="00E75391"/>
    <w:rsid w:val="00E773AC"/>
    <w:rsid w:val="00E82567"/>
    <w:rsid w:val="00E834E5"/>
    <w:rsid w:val="00E90376"/>
    <w:rsid w:val="00E93326"/>
    <w:rsid w:val="00E93DC7"/>
    <w:rsid w:val="00E93FCD"/>
    <w:rsid w:val="00E945E5"/>
    <w:rsid w:val="00EA0252"/>
    <w:rsid w:val="00EA0AEF"/>
    <w:rsid w:val="00EA196B"/>
    <w:rsid w:val="00EA1E2D"/>
    <w:rsid w:val="00EA1E69"/>
    <w:rsid w:val="00EA2E53"/>
    <w:rsid w:val="00EA2E69"/>
    <w:rsid w:val="00EA2F82"/>
    <w:rsid w:val="00EA699E"/>
    <w:rsid w:val="00EA7997"/>
    <w:rsid w:val="00EA799C"/>
    <w:rsid w:val="00EB2AA5"/>
    <w:rsid w:val="00EB44C6"/>
    <w:rsid w:val="00EB61C0"/>
    <w:rsid w:val="00EB6DB3"/>
    <w:rsid w:val="00EB77E6"/>
    <w:rsid w:val="00EC0371"/>
    <w:rsid w:val="00EC05A8"/>
    <w:rsid w:val="00EC2639"/>
    <w:rsid w:val="00EC2DC0"/>
    <w:rsid w:val="00EC3341"/>
    <w:rsid w:val="00EC4B01"/>
    <w:rsid w:val="00EC6B88"/>
    <w:rsid w:val="00EC7204"/>
    <w:rsid w:val="00ED160F"/>
    <w:rsid w:val="00ED1A74"/>
    <w:rsid w:val="00ED1FEB"/>
    <w:rsid w:val="00ED20AF"/>
    <w:rsid w:val="00ED2831"/>
    <w:rsid w:val="00ED3C96"/>
    <w:rsid w:val="00ED50FC"/>
    <w:rsid w:val="00ED5901"/>
    <w:rsid w:val="00ED77D7"/>
    <w:rsid w:val="00ED77FB"/>
    <w:rsid w:val="00EE1C4B"/>
    <w:rsid w:val="00EE1DE0"/>
    <w:rsid w:val="00EE27B8"/>
    <w:rsid w:val="00EE42ED"/>
    <w:rsid w:val="00EE513F"/>
    <w:rsid w:val="00EE5FAA"/>
    <w:rsid w:val="00EE6344"/>
    <w:rsid w:val="00EE66EE"/>
    <w:rsid w:val="00EE79CF"/>
    <w:rsid w:val="00EF0088"/>
    <w:rsid w:val="00EF22B6"/>
    <w:rsid w:val="00EF4C02"/>
    <w:rsid w:val="00EF5254"/>
    <w:rsid w:val="00EF5556"/>
    <w:rsid w:val="00EF57FC"/>
    <w:rsid w:val="00EF6B2D"/>
    <w:rsid w:val="00F01182"/>
    <w:rsid w:val="00F0123F"/>
    <w:rsid w:val="00F06700"/>
    <w:rsid w:val="00F06A7C"/>
    <w:rsid w:val="00F0792A"/>
    <w:rsid w:val="00F079F8"/>
    <w:rsid w:val="00F07B5F"/>
    <w:rsid w:val="00F11550"/>
    <w:rsid w:val="00F123C6"/>
    <w:rsid w:val="00F133F1"/>
    <w:rsid w:val="00F1391C"/>
    <w:rsid w:val="00F14325"/>
    <w:rsid w:val="00F1523A"/>
    <w:rsid w:val="00F20BD2"/>
    <w:rsid w:val="00F21DA9"/>
    <w:rsid w:val="00F23C3D"/>
    <w:rsid w:val="00F23E66"/>
    <w:rsid w:val="00F24D79"/>
    <w:rsid w:val="00F30AEB"/>
    <w:rsid w:val="00F31D1A"/>
    <w:rsid w:val="00F32004"/>
    <w:rsid w:val="00F32187"/>
    <w:rsid w:val="00F36E15"/>
    <w:rsid w:val="00F4367C"/>
    <w:rsid w:val="00F44B88"/>
    <w:rsid w:val="00F44C83"/>
    <w:rsid w:val="00F51B6A"/>
    <w:rsid w:val="00F52F9F"/>
    <w:rsid w:val="00F54390"/>
    <w:rsid w:val="00F56C74"/>
    <w:rsid w:val="00F61D8E"/>
    <w:rsid w:val="00F62E1E"/>
    <w:rsid w:val="00F63206"/>
    <w:rsid w:val="00F63D1F"/>
    <w:rsid w:val="00F63F73"/>
    <w:rsid w:val="00F64D94"/>
    <w:rsid w:val="00F67BE6"/>
    <w:rsid w:val="00F7002D"/>
    <w:rsid w:val="00F711C2"/>
    <w:rsid w:val="00F71E6D"/>
    <w:rsid w:val="00F72359"/>
    <w:rsid w:val="00F752C0"/>
    <w:rsid w:val="00F764F8"/>
    <w:rsid w:val="00F80270"/>
    <w:rsid w:val="00F81093"/>
    <w:rsid w:val="00F818AB"/>
    <w:rsid w:val="00F91ED9"/>
    <w:rsid w:val="00F944A5"/>
    <w:rsid w:val="00F94E10"/>
    <w:rsid w:val="00F95D30"/>
    <w:rsid w:val="00F963C5"/>
    <w:rsid w:val="00F96C9B"/>
    <w:rsid w:val="00F97F1B"/>
    <w:rsid w:val="00FA39B1"/>
    <w:rsid w:val="00FA4157"/>
    <w:rsid w:val="00FA4E28"/>
    <w:rsid w:val="00FA6742"/>
    <w:rsid w:val="00FA7DFA"/>
    <w:rsid w:val="00FB19F2"/>
    <w:rsid w:val="00FB24F8"/>
    <w:rsid w:val="00FB4E20"/>
    <w:rsid w:val="00FB5DF3"/>
    <w:rsid w:val="00FB749C"/>
    <w:rsid w:val="00FC06BF"/>
    <w:rsid w:val="00FC1AAF"/>
    <w:rsid w:val="00FC3BD2"/>
    <w:rsid w:val="00FC5D64"/>
    <w:rsid w:val="00FC6AC3"/>
    <w:rsid w:val="00FC6FC8"/>
    <w:rsid w:val="00FC753F"/>
    <w:rsid w:val="00FD4E72"/>
    <w:rsid w:val="00FD5100"/>
    <w:rsid w:val="00FD74E4"/>
    <w:rsid w:val="00FE42D6"/>
    <w:rsid w:val="00FE58E0"/>
    <w:rsid w:val="00FE7E5C"/>
    <w:rsid w:val="00FF0B84"/>
    <w:rsid w:val="00FF1194"/>
    <w:rsid w:val="00FF1A63"/>
    <w:rsid w:val="00FF2C58"/>
    <w:rsid w:val="00FF5731"/>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868DE"/>
  <w15:chartTrackingRefBased/>
  <w15:docId w15:val="{BBD496FB-57F1-4745-996E-CE782919F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45E5"/>
    <w:pPr>
      <w:overflowPunct w:val="0"/>
      <w:autoSpaceDE w:val="0"/>
      <w:autoSpaceDN w:val="0"/>
      <w:adjustRightInd w:val="0"/>
      <w:spacing w:before="120" w:after="120" w:line="240" w:lineRule="auto"/>
      <w:textAlignment w:val="baseline"/>
    </w:pPr>
    <w:rPr>
      <w:rFonts w:ascii="Times New Roma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F01182"/>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F01182"/>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eastAsia="SimSun" w:hAnsi="Arial" w:cs="Times New Roman"/>
      <w:sz w:val="36"/>
      <w:szCs w:val="20"/>
      <w:lang w:val="en-GB"/>
    </w:rPr>
  </w:style>
  <w:style w:type="character" w:customStyle="1" w:styleId="Heading9Char">
    <w:name w:val="Heading 9 Char"/>
    <w:basedOn w:val="DefaultParagraphFont"/>
    <w:link w:val="Heading9"/>
    <w:rsid w:val="00F01182"/>
    <w:rPr>
      <w:rFonts w:ascii="Arial" w:eastAsia="SimSun"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eastAsia="SimSun" w:hAnsi="Arial" w:cs="Times New Roman"/>
      <w:sz w:val="36"/>
      <w:szCs w:val="20"/>
      <w:lang w:val="en-GB"/>
    </w:rPr>
  </w:style>
  <w:style w:type="table" w:styleId="TableGrid">
    <w:name w:val="Table Grid"/>
    <w:basedOn w:val="TableNormal"/>
    <w:uiPriority w:val="39"/>
    <w:rsid w:val="001B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0C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0C6"/>
    <w:rPr>
      <w:rFonts w:ascii="Segoe UI" w:eastAsia="SimSun" w:hAnsi="Segoe UI" w:cs="Segoe UI"/>
      <w:sz w:val="18"/>
      <w:szCs w:val="18"/>
      <w:lang w:val="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E616D4"/>
    <w:pPr>
      <w:ind w:left="720"/>
      <w:contextualSpacing/>
    </w:pPr>
  </w:style>
  <w:style w:type="paragraph" w:styleId="NormalWeb">
    <w:name w:val="Normal (Web)"/>
    <w:basedOn w:val="Normal"/>
    <w:uiPriority w:val="99"/>
    <w:semiHidden/>
    <w:unhideWhenUsed/>
    <w:rsid w:val="00725BA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fontstyle01">
    <w:name w:val="fontstyle01"/>
    <w:basedOn w:val="DefaultParagraphFont"/>
    <w:rsid w:val="000C3C28"/>
    <w:rPr>
      <w:rFonts w:ascii="ArialMT" w:hAnsi="ArialMT" w:hint="default"/>
      <w:b w:val="0"/>
      <w:bCs w:val="0"/>
      <w:i w:val="0"/>
      <w:iCs w:val="0"/>
      <w:color w:val="000000"/>
      <w:sz w:val="22"/>
      <w:szCs w:val="22"/>
    </w:rPr>
  </w:style>
  <w:style w:type="paragraph" w:customStyle="1" w:styleId="TAH">
    <w:name w:val="TAH"/>
    <w:basedOn w:val="TAC"/>
    <w:link w:val="TAHCar"/>
    <w:qFormat/>
    <w:rsid w:val="007E00C1"/>
    <w:rPr>
      <w:b/>
    </w:rPr>
  </w:style>
  <w:style w:type="paragraph" w:customStyle="1" w:styleId="TAC">
    <w:name w:val="TAC"/>
    <w:basedOn w:val="Normal"/>
    <w:link w:val="TACChar"/>
    <w:qFormat/>
    <w:rsid w:val="007E00C1"/>
    <w:pPr>
      <w:keepNext/>
      <w:keepLines/>
      <w:overflowPunct/>
      <w:autoSpaceDE/>
      <w:autoSpaceDN/>
      <w:adjustRightInd/>
      <w:spacing w:before="0" w:after="0"/>
      <w:jc w:val="center"/>
      <w:textAlignment w:val="auto"/>
    </w:pPr>
    <w:rPr>
      <w:rFonts w:ascii="Arial" w:hAnsi="Arial"/>
      <w:sz w:val="18"/>
    </w:rPr>
  </w:style>
  <w:style w:type="character" w:customStyle="1" w:styleId="TACChar">
    <w:name w:val="TAC Char"/>
    <w:link w:val="TAC"/>
    <w:qFormat/>
    <w:rsid w:val="007E00C1"/>
    <w:rPr>
      <w:rFonts w:ascii="Arial" w:eastAsia="SimSun" w:hAnsi="Arial" w:cs="Times New Roman"/>
      <w:sz w:val="18"/>
      <w:szCs w:val="20"/>
      <w:lang w:val="en-GB"/>
    </w:rPr>
  </w:style>
  <w:style w:type="character" w:customStyle="1" w:styleId="TAHCar">
    <w:name w:val="TAH Car"/>
    <w:link w:val="TAH"/>
    <w:qFormat/>
    <w:rsid w:val="007E00C1"/>
    <w:rPr>
      <w:rFonts w:ascii="Arial" w:eastAsia="SimSun" w:hAnsi="Arial" w:cs="Times New Roman"/>
      <w:b/>
      <w:sz w:val="18"/>
      <w:szCs w:val="20"/>
      <w:lang w:val="en-GB"/>
    </w:rPr>
  </w:style>
  <w:style w:type="paragraph" w:customStyle="1" w:styleId="TH">
    <w:name w:val="TH"/>
    <w:basedOn w:val="Normal"/>
    <w:link w:val="THChar"/>
    <w:qFormat/>
    <w:rsid w:val="007E00C1"/>
    <w:pPr>
      <w:keepNext/>
      <w:keepLines/>
      <w:overflowPunct/>
      <w:autoSpaceDE/>
      <w:autoSpaceDN/>
      <w:adjustRightInd/>
      <w:spacing w:before="60" w:after="180"/>
      <w:jc w:val="center"/>
      <w:textAlignment w:val="auto"/>
    </w:pPr>
    <w:rPr>
      <w:rFonts w:ascii="Arial" w:hAnsi="Arial"/>
      <w:b/>
    </w:rPr>
  </w:style>
  <w:style w:type="character" w:customStyle="1" w:styleId="THChar">
    <w:name w:val="TH Char"/>
    <w:link w:val="TH"/>
    <w:qFormat/>
    <w:rsid w:val="007E00C1"/>
    <w:rPr>
      <w:rFonts w:ascii="Arial" w:eastAsia="SimSun" w:hAnsi="Arial" w:cs="Times New Roman"/>
      <w:b/>
      <w:sz w:val="20"/>
      <w:szCs w:val="20"/>
      <w:lang w:val="en-GB"/>
    </w:rPr>
  </w:style>
  <w:style w:type="paragraph" w:customStyle="1" w:styleId="TAN">
    <w:name w:val="TAN"/>
    <w:basedOn w:val="Normal"/>
    <w:link w:val="TANChar"/>
    <w:qFormat/>
    <w:rsid w:val="00CD6254"/>
    <w:pPr>
      <w:keepNext/>
      <w:keepLines/>
      <w:overflowPunct/>
      <w:autoSpaceDE/>
      <w:autoSpaceDN/>
      <w:adjustRightInd/>
      <w:spacing w:before="0" w:after="0"/>
      <w:ind w:left="851" w:hanging="851"/>
      <w:textAlignment w:val="auto"/>
    </w:pPr>
    <w:rPr>
      <w:rFonts w:ascii="Arial" w:hAnsi="Arial"/>
      <w:sz w:val="18"/>
    </w:rPr>
  </w:style>
  <w:style w:type="character" w:customStyle="1" w:styleId="TANChar">
    <w:name w:val="TAN Char"/>
    <w:link w:val="TAN"/>
    <w:qFormat/>
    <w:rsid w:val="00CD6254"/>
    <w:rPr>
      <w:rFonts w:ascii="Arial" w:eastAsia="SimSun" w:hAnsi="Arial" w:cs="Times New Roman"/>
      <w:sz w:val="18"/>
      <w:szCs w:val="20"/>
      <w:lang w:val="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975FC9"/>
    <w:rPr>
      <w:rFonts w:eastAsia="Times New Roman"/>
      <w:b/>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975FC9"/>
    <w:rPr>
      <w:rFonts w:ascii="Times New Roman" w:eastAsia="Times New Roman" w:hAnsi="Times New Roman" w:cs="Times New Roman"/>
      <w:b/>
      <w:sz w:val="20"/>
      <w:szCs w:val="20"/>
      <w:lang w:val="x-none" w:eastAsia="x-none"/>
    </w:rPr>
  </w:style>
  <w:style w:type="character" w:styleId="Hyperlink">
    <w:name w:val="Hyperlink"/>
    <w:uiPriority w:val="99"/>
    <w:rsid w:val="00975FC9"/>
    <w:rPr>
      <w:color w:val="0000FF"/>
      <w:u w:val="single"/>
    </w:rPr>
  </w:style>
  <w:style w:type="character" w:styleId="FollowedHyperlink">
    <w:name w:val="FollowedHyperlink"/>
    <w:basedOn w:val="DefaultParagraphFont"/>
    <w:uiPriority w:val="99"/>
    <w:semiHidden/>
    <w:unhideWhenUsed/>
    <w:rsid w:val="00975FC9"/>
    <w:rPr>
      <w:color w:val="954F72" w:themeColor="followedHyperlink"/>
      <w:u w:val="single"/>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536CC1"/>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92766A"/>
    <w:rPr>
      <w:sz w:val="16"/>
      <w:szCs w:val="16"/>
    </w:rPr>
  </w:style>
  <w:style w:type="paragraph" w:styleId="CommentText">
    <w:name w:val="annotation text"/>
    <w:basedOn w:val="Normal"/>
    <w:link w:val="CommentTextChar"/>
    <w:uiPriority w:val="99"/>
    <w:unhideWhenUsed/>
    <w:rsid w:val="0092766A"/>
  </w:style>
  <w:style w:type="character" w:customStyle="1" w:styleId="CommentTextChar">
    <w:name w:val="Comment Text Char"/>
    <w:basedOn w:val="DefaultParagraphFont"/>
    <w:link w:val="CommentText"/>
    <w:uiPriority w:val="99"/>
    <w:rsid w:val="0092766A"/>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2766A"/>
    <w:rPr>
      <w:b/>
      <w:bCs/>
    </w:rPr>
  </w:style>
  <w:style w:type="character" w:customStyle="1" w:styleId="CommentSubjectChar">
    <w:name w:val="Comment Subject Char"/>
    <w:basedOn w:val="CommentTextChar"/>
    <w:link w:val="CommentSubject"/>
    <w:uiPriority w:val="99"/>
    <w:semiHidden/>
    <w:rsid w:val="0092766A"/>
    <w:rPr>
      <w:rFonts w:ascii="Times New Roman" w:eastAsia="SimSun" w:hAnsi="Times New Roman" w:cs="Times New Roman"/>
      <w:b/>
      <w:bCs/>
      <w:sz w:val="20"/>
      <w:szCs w:val="20"/>
      <w:lang w:val="en-GB"/>
    </w:rPr>
  </w:style>
  <w:style w:type="paragraph" w:customStyle="1" w:styleId="N1">
    <w:name w:val="N1"/>
    <w:basedOn w:val="Normal"/>
    <w:link w:val="N1Char"/>
    <w:qFormat/>
    <w:rsid w:val="00EA2E69"/>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A2E69"/>
    <w:rPr>
      <w:rFonts w:eastAsiaTheme="minorEastAsia" w:cstheme="minorHAnsi"/>
      <w:lang w:val="en-US" w:eastAsia="ko-KR" w:bidi="hi-IN"/>
    </w:rPr>
  </w:style>
  <w:style w:type="character" w:customStyle="1" w:styleId="apple-converted-space">
    <w:name w:val="apple-converted-space"/>
    <w:basedOn w:val="DefaultParagraphFont"/>
    <w:rsid w:val="0035238C"/>
  </w:style>
  <w:style w:type="character" w:customStyle="1" w:styleId="Doc-text2Char">
    <w:name w:val="Doc-text2 Char"/>
    <w:link w:val="Doc-text2"/>
    <w:qFormat/>
    <w:locked/>
    <w:rsid w:val="007948D4"/>
    <w:rPr>
      <w:rFonts w:ascii="Arial" w:eastAsia="MS Mincho" w:hAnsi="Arial" w:cs="Arial"/>
      <w:szCs w:val="24"/>
    </w:rPr>
  </w:style>
  <w:style w:type="paragraph" w:customStyle="1" w:styleId="Doc-text2">
    <w:name w:val="Doc-text2"/>
    <w:basedOn w:val="Normal"/>
    <w:link w:val="Doc-text2Char"/>
    <w:qFormat/>
    <w:rsid w:val="007948D4"/>
    <w:pPr>
      <w:tabs>
        <w:tab w:val="left" w:pos="1622"/>
      </w:tabs>
      <w:overflowPunct/>
      <w:autoSpaceDE/>
      <w:autoSpaceDN/>
      <w:adjustRightInd/>
      <w:spacing w:before="0" w:after="0"/>
      <w:ind w:left="1622" w:hanging="363"/>
      <w:textAlignment w:val="auto"/>
    </w:pPr>
    <w:rPr>
      <w:rFonts w:ascii="Arial" w:eastAsia="MS Mincho" w:hAnsi="Arial" w:cs="Arial"/>
      <w:sz w:val="22"/>
      <w:szCs w:val="24"/>
      <w:lang w:val="ru-RU"/>
    </w:rPr>
  </w:style>
  <w:style w:type="paragraph" w:styleId="Revision">
    <w:name w:val="Revision"/>
    <w:hidden/>
    <w:uiPriority w:val="99"/>
    <w:semiHidden/>
    <w:rsid w:val="00F752C0"/>
    <w:pPr>
      <w:spacing w:after="0" w:line="240" w:lineRule="auto"/>
    </w:pPr>
    <w:rPr>
      <w:rFonts w:ascii="Times New Roman" w:hAnsi="Times New Roman" w:cs="Times New Roman"/>
      <w:sz w:val="20"/>
      <w:szCs w:val="20"/>
      <w:lang w:val="en-GB"/>
    </w:rPr>
  </w:style>
  <w:style w:type="character" w:customStyle="1" w:styleId="B2Char">
    <w:name w:val="B2 Char"/>
    <w:link w:val="B2"/>
    <w:qFormat/>
    <w:locked/>
    <w:rsid w:val="00BB46D0"/>
    <w:rPr>
      <w:rFonts w:ascii="Times New Roman" w:eastAsia="Times New Roman" w:hAnsi="Times New Roman" w:cs="Times New Roman"/>
      <w:lang w:eastAsia="en-GB"/>
    </w:rPr>
  </w:style>
  <w:style w:type="paragraph" w:customStyle="1" w:styleId="B2">
    <w:name w:val="B2"/>
    <w:basedOn w:val="List2"/>
    <w:link w:val="B2Char"/>
    <w:qFormat/>
    <w:rsid w:val="00BB46D0"/>
    <w:pPr>
      <w:spacing w:before="0" w:after="180"/>
      <w:ind w:left="851" w:hanging="284"/>
      <w:contextualSpacing w:val="0"/>
      <w:textAlignment w:val="auto"/>
    </w:pPr>
    <w:rPr>
      <w:rFonts w:eastAsia="Times New Roman"/>
      <w:sz w:val="22"/>
      <w:szCs w:val="22"/>
      <w:lang w:val="ru-RU" w:eastAsia="en-GB"/>
    </w:rPr>
  </w:style>
  <w:style w:type="character" w:customStyle="1" w:styleId="B3Char">
    <w:name w:val="B3 Char"/>
    <w:link w:val="B3"/>
    <w:qFormat/>
    <w:locked/>
    <w:rsid w:val="00BB46D0"/>
    <w:rPr>
      <w:rFonts w:ascii="Times New Roman" w:eastAsia="Times New Roman" w:hAnsi="Times New Roman" w:cs="Times New Roman"/>
      <w:lang w:eastAsia="en-GB"/>
    </w:rPr>
  </w:style>
  <w:style w:type="paragraph" w:customStyle="1" w:styleId="B3">
    <w:name w:val="B3"/>
    <w:basedOn w:val="List3"/>
    <w:link w:val="B3Char"/>
    <w:rsid w:val="00BB46D0"/>
    <w:pPr>
      <w:spacing w:before="0" w:after="180"/>
      <w:ind w:left="1135" w:hanging="284"/>
      <w:contextualSpacing w:val="0"/>
      <w:textAlignment w:val="auto"/>
    </w:pPr>
    <w:rPr>
      <w:rFonts w:eastAsia="Times New Roman"/>
      <w:sz w:val="22"/>
      <w:szCs w:val="22"/>
      <w:lang w:val="ru-RU" w:eastAsia="en-GB"/>
    </w:rPr>
  </w:style>
  <w:style w:type="paragraph" w:styleId="List2">
    <w:name w:val="List 2"/>
    <w:basedOn w:val="Normal"/>
    <w:uiPriority w:val="99"/>
    <w:semiHidden/>
    <w:unhideWhenUsed/>
    <w:rsid w:val="00BB46D0"/>
    <w:pPr>
      <w:ind w:left="720" w:hanging="360"/>
      <w:contextualSpacing/>
    </w:pPr>
  </w:style>
  <w:style w:type="paragraph" w:styleId="List3">
    <w:name w:val="List 3"/>
    <w:basedOn w:val="Normal"/>
    <w:uiPriority w:val="99"/>
    <w:semiHidden/>
    <w:unhideWhenUsed/>
    <w:rsid w:val="00BB46D0"/>
    <w:pPr>
      <w:ind w:left="1080" w:hanging="360"/>
      <w:contextualSpacing/>
    </w:pPr>
  </w:style>
  <w:style w:type="character" w:customStyle="1" w:styleId="TALCar">
    <w:name w:val="TAL Car"/>
    <w:link w:val="TAL"/>
    <w:qFormat/>
    <w:locked/>
    <w:rsid w:val="00EA7997"/>
    <w:rPr>
      <w:rFonts w:ascii="Arial" w:eastAsia="Times New Roman" w:hAnsi="Arial" w:cs="Arial"/>
      <w:sz w:val="18"/>
      <w:lang w:eastAsia="en-GB"/>
    </w:rPr>
  </w:style>
  <w:style w:type="paragraph" w:customStyle="1" w:styleId="TAL">
    <w:name w:val="TAL"/>
    <w:basedOn w:val="Normal"/>
    <w:link w:val="TALCar"/>
    <w:rsid w:val="00EA7997"/>
    <w:pPr>
      <w:keepNext/>
      <w:keepLines/>
      <w:spacing w:before="0" w:after="0"/>
      <w:textAlignment w:val="auto"/>
    </w:pPr>
    <w:rPr>
      <w:rFonts w:ascii="Arial" w:eastAsia="Times New Roman" w:hAnsi="Arial" w:cs="Arial"/>
      <w:sz w:val="18"/>
      <w:szCs w:val="22"/>
      <w:lang w:val="ru-RU" w:eastAsia="en-GB"/>
    </w:rPr>
  </w:style>
  <w:style w:type="character" w:customStyle="1" w:styleId="B1Char">
    <w:name w:val="B1 Char"/>
    <w:link w:val="B1"/>
    <w:qFormat/>
    <w:locked/>
    <w:rsid w:val="00852F61"/>
    <w:rPr>
      <w:rFonts w:ascii="Times New Roman" w:eastAsia="Times New Roman" w:hAnsi="Times New Roman" w:cs="Times New Roman"/>
      <w:lang w:eastAsia="en-GB"/>
    </w:rPr>
  </w:style>
  <w:style w:type="paragraph" w:customStyle="1" w:styleId="B1">
    <w:name w:val="B1"/>
    <w:basedOn w:val="List"/>
    <w:link w:val="B1Char"/>
    <w:rsid w:val="00852F61"/>
    <w:pPr>
      <w:spacing w:before="0" w:after="180"/>
      <w:ind w:left="568" w:hanging="284"/>
      <w:contextualSpacing w:val="0"/>
      <w:textAlignment w:val="auto"/>
    </w:pPr>
    <w:rPr>
      <w:rFonts w:eastAsia="Times New Roman"/>
      <w:sz w:val="22"/>
      <w:szCs w:val="22"/>
      <w:lang w:val="ru-RU" w:eastAsia="en-GB"/>
    </w:rPr>
  </w:style>
  <w:style w:type="paragraph" w:styleId="List">
    <w:name w:val="List"/>
    <w:basedOn w:val="Normal"/>
    <w:uiPriority w:val="99"/>
    <w:semiHidden/>
    <w:unhideWhenUsed/>
    <w:rsid w:val="00852F61"/>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170557">
      <w:bodyDiv w:val="1"/>
      <w:marLeft w:val="0"/>
      <w:marRight w:val="0"/>
      <w:marTop w:val="0"/>
      <w:marBottom w:val="0"/>
      <w:divBdr>
        <w:top w:val="none" w:sz="0" w:space="0" w:color="auto"/>
        <w:left w:val="none" w:sz="0" w:space="0" w:color="auto"/>
        <w:bottom w:val="none" w:sz="0" w:space="0" w:color="auto"/>
        <w:right w:val="none" w:sz="0" w:space="0" w:color="auto"/>
      </w:divBdr>
    </w:div>
    <w:div w:id="182979217">
      <w:bodyDiv w:val="1"/>
      <w:marLeft w:val="0"/>
      <w:marRight w:val="0"/>
      <w:marTop w:val="0"/>
      <w:marBottom w:val="0"/>
      <w:divBdr>
        <w:top w:val="none" w:sz="0" w:space="0" w:color="auto"/>
        <w:left w:val="none" w:sz="0" w:space="0" w:color="auto"/>
        <w:bottom w:val="none" w:sz="0" w:space="0" w:color="auto"/>
        <w:right w:val="none" w:sz="0" w:space="0" w:color="auto"/>
      </w:divBdr>
    </w:div>
    <w:div w:id="202178935">
      <w:bodyDiv w:val="1"/>
      <w:marLeft w:val="0"/>
      <w:marRight w:val="0"/>
      <w:marTop w:val="0"/>
      <w:marBottom w:val="0"/>
      <w:divBdr>
        <w:top w:val="none" w:sz="0" w:space="0" w:color="auto"/>
        <w:left w:val="none" w:sz="0" w:space="0" w:color="auto"/>
        <w:bottom w:val="none" w:sz="0" w:space="0" w:color="auto"/>
        <w:right w:val="none" w:sz="0" w:space="0" w:color="auto"/>
      </w:divBdr>
    </w:div>
    <w:div w:id="250507270">
      <w:bodyDiv w:val="1"/>
      <w:marLeft w:val="0"/>
      <w:marRight w:val="0"/>
      <w:marTop w:val="0"/>
      <w:marBottom w:val="0"/>
      <w:divBdr>
        <w:top w:val="none" w:sz="0" w:space="0" w:color="auto"/>
        <w:left w:val="none" w:sz="0" w:space="0" w:color="auto"/>
        <w:bottom w:val="none" w:sz="0" w:space="0" w:color="auto"/>
        <w:right w:val="none" w:sz="0" w:space="0" w:color="auto"/>
      </w:divBdr>
    </w:div>
    <w:div w:id="420834711">
      <w:bodyDiv w:val="1"/>
      <w:marLeft w:val="0"/>
      <w:marRight w:val="0"/>
      <w:marTop w:val="0"/>
      <w:marBottom w:val="0"/>
      <w:divBdr>
        <w:top w:val="none" w:sz="0" w:space="0" w:color="auto"/>
        <w:left w:val="none" w:sz="0" w:space="0" w:color="auto"/>
        <w:bottom w:val="none" w:sz="0" w:space="0" w:color="auto"/>
        <w:right w:val="none" w:sz="0" w:space="0" w:color="auto"/>
      </w:divBdr>
    </w:div>
    <w:div w:id="479076492">
      <w:bodyDiv w:val="1"/>
      <w:marLeft w:val="0"/>
      <w:marRight w:val="0"/>
      <w:marTop w:val="0"/>
      <w:marBottom w:val="0"/>
      <w:divBdr>
        <w:top w:val="none" w:sz="0" w:space="0" w:color="auto"/>
        <w:left w:val="none" w:sz="0" w:space="0" w:color="auto"/>
        <w:bottom w:val="none" w:sz="0" w:space="0" w:color="auto"/>
        <w:right w:val="none" w:sz="0" w:space="0" w:color="auto"/>
      </w:divBdr>
    </w:div>
    <w:div w:id="523636510">
      <w:bodyDiv w:val="1"/>
      <w:marLeft w:val="0"/>
      <w:marRight w:val="0"/>
      <w:marTop w:val="0"/>
      <w:marBottom w:val="0"/>
      <w:divBdr>
        <w:top w:val="none" w:sz="0" w:space="0" w:color="auto"/>
        <w:left w:val="none" w:sz="0" w:space="0" w:color="auto"/>
        <w:bottom w:val="none" w:sz="0" w:space="0" w:color="auto"/>
        <w:right w:val="none" w:sz="0" w:space="0" w:color="auto"/>
      </w:divBdr>
    </w:div>
    <w:div w:id="751122373">
      <w:bodyDiv w:val="1"/>
      <w:marLeft w:val="0"/>
      <w:marRight w:val="0"/>
      <w:marTop w:val="0"/>
      <w:marBottom w:val="0"/>
      <w:divBdr>
        <w:top w:val="none" w:sz="0" w:space="0" w:color="auto"/>
        <w:left w:val="none" w:sz="0" w:space="0" w:color="auto"/>
        <w:bottom w:val="none" w:sz="0" w:space="0" w:color="auto"/>
        <w:right w:val="none" w:sz="0" w:space="0" w:color="auto"/>
      </w:divBdr>
    </w:div>
    <w:div w:id="771971972">
      <w:bodyDiv w:val="1"/>
      <w:marLeft w:val="0"/>
      <w:marRight w:val="0"/>
      <w:marTop w:val="0"/>
      <w:marBottom w:val="0"/>
      <w:divBdr>
        <w:top w:val="none" w:sz="0" w:space="0" w:color="auto"/>
        <w:left w:val="none" w:sz="0" w:space="0" w:color="auto"/>
        <w:bottom w:val="none" w:sz="0" w:space="0" w:color="auto"/>
        <w:right w:val="none" w:sz="0" w:space="0" w:color="auto"/>
      </w:divBdr>
    </w:div>
    <w:div w:id="805656931">
      <w:bodyDiv w:val="1"/>
      <w:marLeft w:val="0"/>
      <w:marRight w:val="0"/>
      <w:marTop w:val="0"/>
      <w:marBottom w:val="0"/>
      <w:divBdr>
        <w:top w:val="none" w:sz="0" w:space="0" w:color="auto"/>
        <w:left w:val="none" w:sz="0" w:space="0" w:color="auto"/>
        <w:bottom w:val="none" w:sz="0" w:space="0" w:color="auto"/>
        <w:right w:val="none" w:sz="0" w:space="0" w:color="auto"/>
      </w:divBdr>
    </w:div>
    <w:div w:id="815879611">
      <w:bodyDiv w:val="1"/>
      <w:marLeft w:val="0"/>
      <w:marRight w:val="0"/>
      <w:marTop w:val="0"/>
      <w:marBottom w:val="0"/>
      <w:divBdr>
        <w:top w:val="none" w:sz="0" w:space="0" w:color="auto"/>
        <w:left w:val="none" w:sz="0" w:space="0" w:color="auto"/>
        <w:bottom w:val="none" w:sz="0" w:space="0" w:color="auto"/>
        <w:right w:val="none" w:sz="0" w:space="0" w:color="auto"/>
      </w:divBdr>
      <w:divsChild>
        <w:div w:id="182978822">
          <w:marLeft w:val="1080"/>
          <w:marRight w:val="0"/>
          <w:marTop w:val="100"/>
          <w:marBottom w:val="0"/>
          <w:divBdr>
            <w:top w:val="none" w:sz="0" w:space="0" w:color="auto"/>
            <w:left w:val="none" w:sz="0" w:space="0" w:color="auto"/>
            <w:bottom w:val="none" w:sz="0" w:space="0" w:color="auto"/>
            <w:right w:val="none" w:sz="0" w:space="0" w:color="auto"/>
          </w:divBdr>
        </w:div>
        <w:div w:id="302084725">
          <w:marLeft w:val="1800"/>
          <w:marRight w:val="0"/>
          <w:marTop w:val="100"/>
          <w:marBottom w:val="0"/>
          <w:divBdr>
            <w:top w:val="none" w:sz="0" w:space="0" w:color="auto"/>
            <w:left w:val="none" w:sz="0" w:space="0" w:color="auto"/>
            <w:bottom w:val="none" w:sz="0" w:space="0" w:color="auto"/>
            <w:right w:val="none" w:sz="0" w:space="0" w:color="auto"/>
          </w:divBdr>
        </w:div>
        <w:div w:id="839807448">
          <w:marLeft w:val="1080"/>
          <w:marRight w:val="0"/>
          <w:marTop w:val="100"/>
          <w:marBottom w:val="0"/>
          <w:divBdr>
            <w:top w:val="none" w:sz="0" w:space="0" w:color="auto"/>
            <w:left w:val="none" w:sz="0" w:space="0" w:color="auto"/>
            <w:bottom w:val="none" w:sz="0" w:space="0" w:color="auto"/>
            <w:right w:val="none" w:sz="0" w:space="0" w:color="auto"/>
          </w:divBdr>
        </w:div>
        <w:div w:id="1498307507">
          <w:marLeft w:val="360"/>
          <w:marRight w:val="0"/>
          <w:marTop w:val="200"/>
          <w:marBottom w:val="0"/>
          <w:divBdr>
            <w:top w:val="none" w:sz="0" w:space="0" w:color="auto"/>
            <w:left w:val="none" w:sz="0" w:space="0" w:color="auto"/>
            <w:bottom w:val="none" w:sz="0" w:space="0" w:color="auto"/>
            <w:right w:val="none" w:sz="0" w:space="0" w:color="auto"/>
          </w:divBdr>
        </w:div>
        <w:div w:id="1701396475">
          <w:marLeft w:val="1800"/>
          <w:marRight w:val="0"/>
          <w:marTop w:val="100"/>
          <w:marBottom w:val="0"/>
          <w:divBdr>
            <w:top w:val="none" w:sz="0" w:space="0" w:color="auto"/>
            <w:left w:val="none" w:sz="0" w:space="0" w:color="auto"/>
            <w:bottom w:val="none" w:sz="0" w:space="0" w:color="auto"/>
            <w:right w:val="none" w:sz="0" w:space="0" w:color="auto"/>
          </w:divBdr>
        </w:div>
        <w:div w:id="1759059369">
          <w:marLeft w:val="1080"/>
          <w:marRight w:val="0"/>
          <w:marTop w:val="100"/>
          <w:marBottom w:val="0"/>
          <w:divBdr>
            <w:top w:val="none" w:sz="0" w:space="0" w:color="auto"/>
            <w:left w:val="none" w:sz="0" w:space="0" w:color="auto"/>
            <w:bottom w:val="none" w:sz="0" w:space="0" w:color="auto"/>
            <w:right w:val="none" w:sz="0" w:space="0" w:color="auto"/>
          </w:divBdr>
        </w:div>
        <w:div w:id="1984962003">
          <w:marLeft w:val="1080"/>
          <w:marRight w:val="0"/>
          <w:marTop w:val="100"/>
          <w:marBottom w:val="0"/>
          <w:divBdr>
            <w:top w:val="none" w:sz="0" w:space="0" w:color="auto"/>
            <w:left w:val="none" w:sz="0" w:space="0" w:color="auto"/>
            <w:bottom w:val="none" w:sz="0" w:space="0" w:color="auto"/>
            <w:right w:val="none" w:sz="0" w:space="0" w:color="auto"/>
          </w:divBdr>
        </w:div>
      </w:divsChild>
    </w:div>
    <w:div w:id="881405904">
      <w:bodyDiv w:val="1"/>
      <w:marLeft w:val="0"/>
      <w:marRight w:val="0"/>
      <w:marTop w:val="0"/>
      <w:marBottom w:val="0"/>
      <w:divBdr>
        <w:top w:val="none" w:sz="0" w:space="0" w:color="auto"/>
        <w:left w:val="none" w:sz="0" w:space="0" w:color="auto"/>
        <w:bottom w:val="none" w:sz="0" w:space="0" w:color="auto"/>
        <w:right w:val="none" w:sz="0" w:space="0" w:color="auto"/>
      </w:divBdr>
    </w:div>
    <w:div w:id="921447335">
      <w:bodyDiv w:val="1"/>
      <w:marLeft w:val="0"/>
      <w:marRight w:val="0"/>
      <w:marTop w:val="0"/>
      <w:marBottom w:val="0"/>
      <w:divBdr>
        <w:top w:val="none" w:sz="0" w:space="0" w:color="auto"/>
        <w:left w:val="none" w:sz="0" w:space="0" w:color="auto"/>
        <w:bottom w:val="none" w:sz="0" w:space="0" w:color="auto"/>
        <w:right w:val="none" w:sz="0" w:space="0" w:color="auto"/>
      </w:divBdr>
    </w:div>
    <w:div w:id="925457842">
      <w:bodyDiv w:val="1"/>
      <w:marLeft w:val="0"/>
      <w:marRight w:val="0"/>
      <w:marTop w:val="0"/>
      <w:marBottom w:val="0"/>
      <w:divBdr>
        <w:top w:val="none" w:sz="0" w:space="0" w:color="auto"/>
        <w:left w:val="none" w:sz="0" w:space="0" w:color="auto"/>
        <w:bottom w:val="none" w:sz="0" w:space="0" w:color="auto"/>
        <w:right w:val="none" w:sz="0" w:space="0" w:color="auto"/>
      </w:divBdr>
    </w:div>
    <w:div w:id="932057282">
      <w:bodyDiv w:val="1"/>
      <w:marLeft w:val="0"/>
      <w:marRight w:val="0"/>
      <w:marTop w:val="0"/>
      <w:marBottom w:val="0"/>
      <w:divBdr>
        <w:top w:val="none" w:sz="0" w:space="0" w:color="auto"/>
        <w:left w:val="none" w:sz="0" w:space="0" w:color="auto"/>
        <w:bottom w:val="none" w:sz="0" w:space="0" w:color="auto"/>
        <w:right w:val="none" w:sz="0" w:space="0" w:color="auto"/>
      </w:divBdr>
    </w:div>
    <w:div w:id="974218725">
      <w:bodyDiv w:val="1"/>
      <w:marLeft w:val="0"/>
      <w:marRight w:val="0"/>
      <w:marTop w:val="0"/>
      <w:marBottom w:val="0"/>
      <w:divBdr>
        <w:top w:val="none" w:sz="0" w:space="0" w:color="auto"/>
        <w:left w:val="none" w:sz="0" w:space="0" w:color="auto"/>
        <w:bottom w:val="none" w:sz="0" w:space="0" w:color="auto"/>
        <w:right w:val="none" w:sz="0" w:space="0" w:color="auto"/>
      </w:divBdr>
    </w:div>
    <w:div w:id="1017854632">
      <w:bodyDiv w:val="1"/>
      <w:marLeft w:val="0"/>
      <w:marRight w:val="0"/>
      <w:marTop w:val="0"/>
      <w:marBottom w:val="0"/>
      <w:divBdr>
        <w:top w:val="none" w:sz="0" w:space="0" w:color="auto"/>
        <w:left w:val="none" w:sz="0" w:space="0" w:color="auto"/>
        <w:bottom w:val="none" w:sz="0" w:space="0" w:color="auto"/>
        <w:right w:val="none" w:sz="0" w:space="0" w:color="auto"/>
      </w:divBdr>
    </w:div>
    <w:div w:id="1108893411">
      <w:bodyDiv w:val="1"/>
      <w:marLeft w:val="0"/>
      <w:marRight w:val="0"/>
      <w:marTop w:val="0"/>
      <w:marBottom w:val="0"/>
      <w:divBdr>
        <w:top w:val="none" w:sz="0" w:space="0" w:color="auto"/>
        <w:left w:val="none" w:sz="0" w:space="0" w:color="auto"/>
        <w:bottom w:val="none" w:sz="0" w:space="0" w:color="auto"/>
        <w:right w:val="none" w:sz="0" w:space="0" w:color="auto"/>
      </w:divBdr>
    </w:div>
    <w:div w:id="1140851977">
      <w:bodyDiv w:val="1"/>
      <w:marLeft w:val="0"/>
      <w:marRight w:val="0"/>
      <w:marTop w:val="0"/>
      <w:marBottom w:val="0"/>
      <w:divBdr>
        <w:top w:val="none" w:sz="0" w:space="0" w:color="auto"/>
        <w:left w:val="none" w:sz="0" w:space="0" w:color="auto"/>
        <w:bottom w:val="none" w:sz="0" w:space="0" w:color="auto"/>
        <w:right w:val="none" w:sz="0" w:space="0" w:color="auto"/>
      </w:divBdr>
    </w:div>
    <w:div w:id="1158300330">
      <w:bodyDiv w:val="1"/>
      <w:marLeft w:val="0"/>
      <w:marRight w:val="0"/>
      <w:marTop w:val="0"/>
      <w:marBottom w:val="0"/>
      <w:divBdr>
        <w:top w:val="none" w:sz="0" w:space="0" w:color="auto"/>
        <w:left w:val="none" w:sz="0" w:space="0" w:color="auto"/>
        <w:bottom w:val="none" w:sz="0" w:space="0" w:color="auto"/>
        <w:right w:val="none" w:sz="0" w:space="0" w:color="auto"/>
      </w:divBdr>
    </w:div>
    <w:div w:id="1186940325">
      <w:bodyDiv w:val="1"/>
      <w:marLeft w:val="0"/>
      <w:marRight w:val="0"/>
      <w:marTop w:val="0"/>
      <w:marBottom w:val="0"/>
      <w:divBdr>
        <w:top w:val="none" w:sz="0" w:space="0" w:color="auto"/>
        <w:left w:val="none" w:sz="0" w:space="0" w:color="auto"/>
        <w:bottom w:val="none" w:sz="0" w:space="0" w:color="auto"/>
        <w:right w:val="none" w:sz="0" w:space="0" w:color="auto"/>
      </w:divBdr>
    </w:div>
    <w:div w:id="1271625579">
      <w:bodyDiv w:val="1"/>
      <w:marLeft w:val="0"/>
      <w:marRight w:val="0"/>
      <w:marTop w:val="0"/>
      <w:marBottom w:val="0"/>
      <w:divBdr>
        <w:top w:val="none" w:sz="0" w:space="0" w:color="auto"/>
        <w:left w:val="none" w:sz="0" w:space="0" w:color="auto"/>
        <w:bottom w:val="none" w:sz="0" w:space="0" w:color="auto"/>
        <w:right w:val="none" w:sz="0" w:space="0" w:color="auto"/>
      </w:divBdr>
      <w:divsChild>
        <w:div w:id="1034699400">
          <w:marLeft w:val="0"/>
          <w:marRight w:val="0"/>
          <w:marTop w:val="60"/>
          <w:marBottom w:val="0"/>
          <w:divBdr>
            <w:top w:val="none" w:sz="0" w:space="0" w:color="auto"/>
            <w:left w:val="none" w:sz="0" w:space="0" w:color="auto"/>
            <w:bottom w:val="none" w:sz="0" w:space="0" w:color="auto"/>
            <w:right w:val="none" w:sz="0" w:space="0" w:color="auto"/>
          </w:divBdr>
        </w:div>
      </w:divsChild>
    </w:div>
    <w:div w:id="1275940155">
      <w:bodyDiv w:val="1"/>
      <w:marLeft w:val="0"/>
      <w:marRight w:val="0"/>
      <w:marTop w:val="0"/>
      <w:marBottom w:val="0"/>
      <w:divBdr>
        <w:top w:val="none" w:sz="0" w:space="0" w:color="auto"/>
        <w:left w:val="none" w:sz="0" w:space="0" w:color="auto"/>
        <w:bottom w:val="none" w:sz="0" w:space="0" w:color="auto"/>
        <w:right w:val="none" w:sz="0" w:space="0" w:color="auto"/>
      </w:divBdr>
    </w:div>
    <w:div w:id="1286041936">
      <w:bodyDiv w:val="1"/>
      <w:marLeft w:val="0"/>
      <w:marRight w:val="0"/>
      <w:marTop w:val="0"/>
      <w:marBottom w:val="0"/>
      <w:divBdr>
        <w:top w:val="none" w:sz="0" w:space="0" w:color="auto"/>
        <w:left w:val="none" w:sz="0" w:space="0" w:color="auto"/>
        <w:bottom w:val="none" w:sz="0" w:space="0" w:color="auto"/>
        <w:right w:val="none" w:sz="0" w:space="0" w:color="auto"/>
      </w:divBdr>
    </w:div>
    <w:div w:id="1305086089">
      <w:bodyDiv w:val="1"/>
      <w:marLeft w:val="0"/>
      <w:marRight w:val="0"/>
      <w:marTop w:val="0"/>
      <w:marBottom w:val="0"/>
      <w:divBdr>
        <w:top w:val="none" w:sz="0" w:space="0" w:color="auto"/>
        <w:left w:val="none" w:sz="0" w:space="0" w:color="auto"/>
        <w:bottom w:val="none" w:sz="0" w:space="0" w:color="auto"/>
        <w:right w:val="none" w:sz="0" w:space="0" w:color="auto"/>
      </w:divBdr>
    </w:div>
    <w:div w:id="1314062620">
      <w:bodyDiv w:val="1"/>
      <w:marLeft w:val="0"/>
      <w:marRight w:val="0"/>
      <w:marTop w:val="0"/>
      <w:marBottom w:val="0"/>
      <w:divBdr>
        <w:top w:val="none" w:sz="0" w:space="0" w:color="auto"/>
        <w:left w:val="none" w:sz="0" w:space="0" w:color="auto"/>
        <w:bottom w:val="none" w:sz="0" w:space="0" w:color="auto"/>
        <w:right w:val="none" w:sz="0" w:space="0" w:color="auto"/>
      </w:divBdr>
    </w:div>
    <w:div w:id="1388794188">
      <w:bodyDiv w:val="1"/>
      <w:marLeft w:val="0"/>
      <w:marRight w:val="0"/>
      <w:marTop w:val="0"/>
      <w:marBottom w:val="0"/>
      <w:divBdr>
        <w:top w:val="none" w:sz="0" w:space="0" w:color="auto"/>
        <w:left w:val="none" w:sz="0" w:space="0" w:color="auto"/>
        <w:bottom w:val="none" w:sz="0" w:space="0" w:color="auto"/>
        <w:right w:val="none" w:sz="0" w:space="0" w:color="auto"/>
      </w:divBdr>
    </w:div>
    <w:div w:id="1462923616">
      <w:bodyDiv w:val="1"/>
      <w:marLeft w:val="0"/>
      <w:marRight w:val="0"/>
      <w:marTop w:val="0"/>
      <w:marBottom w:val="0"/>
      <w:divBdr>
        <w:top w:val="none" w:sz="0" w:space="0" w:color="auto"/>
        <w:left w:val="none" w:sz="0" w:space="0" w:color="auto"/>
        <w:bottom w:val="none" w:sz="0" w:space="0" w:color="auto"/>
        <w:right w:val="none" w:sz="0" w:space="0" w:color="auto"/>
      </w:divBdr>
    </w:div>
    <w:div w:id="1467503272">
      <w:bodyDiv w:val="1"/>
      <w:marLeft w:val="0"/>
      <w:marRight w:val="0"/>
      <w:marTop w:val="0"/>
      <w:marBottom w:val="0"/>
      <w:divBdr>
        <w:top w:val="none" w:sz="0" w:space="0" w:color="auto"/>
        <w:left w:val="none" w:sz="0" w:space="0" w:color="auto"/>
        <w:bottom w:val="none" w:sz="0" w:space="0" w:color="auto"/>
        <w:right w:val="none" w:sz="0" w:space="0" w:color="auto"/>
      </w:divBdr>
    </w:div>
    <w:div w:id="1573390976">
      <w:bodyDiv w:val="1"/>
      <w:marLeft w:val="0"/>
      <w:marRight w:val="0"/>
      <w:marTop w:val="0"/>
      <w:marBottom w:val="0"/>
      <w:divBdr>
        <w:top w:val="none" w:sz="0" w:space="0" w:color="auto"/>
        <w:left w:val="none" w:sz="0" w:space="0" w:color="auto"/>
        <w:bottom w:val="none" w:sz="0" w:space="0" w:color="auto"/>
        <w:right w:val="none" w:sz="0" w:space="0" w:color="auto"/>
      </w:divBdr>
    </w:div>
    <w:div w:id="1595743676">
      <w:bodyDiv w:val="1"/>
      <w:marLeft w:val="0"/>
      <w:marRight w:val="0"/>
      <w:marTop w:val="0"/>
      <w:marBottom w:val="0"/>
      <w:divBdr>
        <w:top w:val="none" w:sz="0" w:space="0" w:color="auto"/>
        <w:left w:val="none" w:sz="0" w:space="0" w:color="auto"/>
        <w:bottom w:val="none" w:sz="0" w:space="0" w:color="auto"/>
        <w:right w:val="none" w:sz="0" w:space="0" w:color="auto"/>
      </w:divBdr>
    </w:div>
    <w:div w:id="1606621015">
      <w:bodyDiv w:val="1"/>
      <w:marLeft w:val="0"/>
      <w:marRight w:val="0"/>
      <w:marTop w:val="0"/>
      <w:marBottom w:val="0"/>
      <w:divBdr>
        <w:top w:val="none" w:sz="0" w:space="0" w:color="auto"/>
        <w:left w:val="none" w:sz="0" w:space="0" w:color="auto"/>
        <w:bottom w:val="none" w:sz="0" w:space="0" w:color="auto"/>
        <w:right w:val="none" w:sz="0" w:space="0" w:color="auto"/>
      </w:divBdr>
    </w:div>
    <w:div w:id="1607422011">
      <w:bodyDiv w:val="1"/>
      <w:marLeft w:val="0"/>
      <w:marRight w:val="0"/>
      <w:marTop w:val="0"/>
      <w:marBottom w:val="0"/>
      <w:divBdr>
        <w:top w:val="none" w:sz="0" w:space="0" w:color="auto"/>
        <w:left w:val="none" w:sz="0" w:space="0" w:color="auto"/>
        <w:bottom w:val="none" w:sz="0" w:space="0" w:color="auto"/>
        <w:right w:val="none" w:sz="0" w:space="0" w:color="auto"/>
      </w:divBdr>
    </w:div>
    <w:div w:id="1688601562">
      <w:bodyDiv w:val="1"/>
      <w:marLeft w:val="0"/>
      <w:marRight w:val="0"/>
      <w:marTop w:val="0"/>
      <w:marBottom w:val="0"/>
      <w:divBdr>
        <w:top w:val="none" w:sz="0" w:space="0" w:color="auto"/>
        <w:left w:val="none" w:sz="0" w:space="0" w:color="auto"/>
        <w:bottom w:val="none" w:sz="0" w:space="0" w:color="auto"/>
        <w:right w:val="none" w:sz="0" w:space="0" w:color="auto"/>
      </w:divBdr>
    </w:div>
    <w:div w:id="1836261547">
      <w:bodyDiv w:val="1"/>
      <w:marLeft w:val="0"/>
      <w:marRight w:val="0"/>
      <w:marTop w:val="0"/>
      <w:marBottom w:val="0"/>
      <w:divBdr>
        <w:top w:val="none" w:sz="0" w:space="0" w:color="auto"/>
        <w:left w:val="none" w:sz="0" w:space="0" w:color="auto"/>
        <w:bottom w:val="none" w:sz="0" w:space="0" w:color="auto"/>
        <w:right w:val="none" w:sz="0" w:space="0" w:color="auto"/>
      </w:divBdr>
    </w:div>
    <w:div w:id="1837259287">
      <w:bodyDiv w:val="1"/>
      <w:marLeft w:val="0"/>
      <w:marRight w:val="0"/>
      <w:marTop w:val="0"/>
      <w:marBottom w:val="0"/>
      <w:divBdr>
        <w:top w:val="none" w:sz="0" w:space="0" w:color="auto"/>
        <w:left w:val="none" w:sz="0" w:space="0" w:color="auto"/>
        <w:bottom w:val="none" w:sz="0" w:space="0" w:color="auto"/>
        <w:right w:val="none" w:sz="0" w:space="0" w:color="auto"/>
      </w:divBdr>
    </w:div>
    <w:div w:id="1889798042">
      <w:bodyDiv w:val="1"/>
      <w:marLeft w:val="0"/>
      <w:marRight w:val="0"/>
      <w:marTop w:val="0"/>
      <w:marBottom w:val="0"/>
      <w:divBdr>
        <w:top w:val="none" w:sz="0" w:space="0" w:color="auto"/>
        <w:left w:val="none" w:sz="0" w:space="0" w:color="auto"/>
        <w:bottom w:val="none" w:sz="0" w:space="0" w:color="auto"/>
        <w:right w:val="none" w:sz="0" w:space="0" w:color="auto"/>
      </w:divBdr>
      <w:divsChild>
        <w:div w:id="1399742086">
          <w:marLeft w:val="360"/>
          <w:marRight w:val="0"/>
          <w:marTop w:val="200"/>
          <w:marBottom w:val="0"/>
          <w:divBdr>
            <w:top w:val="none" w:sz="0" w:space="0" w:color="auto"/>
            <w:left w:val="none" w:sz="0" w:space="0" w:color="auto"/>
            <w:bottom w:val="none" w:sz="0" w:space="0" w:color="auto"/>
            <w:right w:val="none" w:sz="0" w:space="0" w:color="auto"/>
          </w:divBdr>
        </w:div>
      </w:divsChild>
    </w:div>
    <w:div w:id="2022050822">
      <w:bodyDiv w:val="1"/>
      <w:marLeft w:val="0"/>
      <w:marRight w:val="0"/>
      <w:marTop w:val="0"/>
      <w:marBottom w:val="0"/>
      <w:divBdr>
        <w:top w:val="none" w:sz="0" w:space="0" w:color="auto"/>
        <w:left w:val="none" w:sz="0" w:space="0" w:color="auto"/>
        <w:bottom w:val="none" w:sz="0" w:space="0" w:color="auto"/>
        <w:right w:val="none" w:sz="0" w:space="0" w:color="auto"/>
      </w:divBdr>
    </w:div>
    <w:div w:id="2089617066">
      <w:bodyDiv w:val="1"/>
      <w:marLeft w:val="0"/>
      <w:marRight w:val="0"/>
      <w:marTop w:val="0"/>
      <w:marBottom w:val="0"/>
      <w:divBdr>
        <w:top w:val="none" w:sz="0" w:space="0" w:color="auto"/>
        <w:left w:val="none" w:sz="0" w:space="0" w:color="auto"/>
        <w:bottom w:val="none" w:sz="0" w:space="0" w:color="auto"/>
        <w:right w:val="none" w:sz="0" w:space="0" w:color="auto"/>
      </w:divBdr>
    </w:div>
    <w:div w:id="209709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47cd0aab2765cb66eb47f48382d588d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6baa4fd7ba9486354a5c4eeb05a1744f"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7CE41F5-69AB-4BF4-AC18-BA86711F3A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BCED35-69B3-4446-B896-824B48AB183D}">
  <ds:schemaRefs>
    <ds:schemaRef ds:uri="http://schemas.microsoft.com/sharepoint/v3/contenttype/forms"/>
  </ds:schemaRefs>
</ds:datastoreItem>
</file>

<file path=customXml/itemProps3.xml><?xml version="1.0" encoding="utf-8"?>
<ds:datastoreItem xmlns:ds="http://schemas.openxmlformats.org/officeDocument/2006/customXml" ds:itemID="{EB008A05-8ECA-4B6F-8D8C-9DB48960D0C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6825</TotalTime>
  <Pages>3</Pages>
  <Words>1114</Words>
  <Characters>6353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Zhang, Meng</cp:lastModifiedBy>
  <cp:revision>798</cp:revision>
  <dcterms:created xsi:type="dcterms:W3CDTF">2022-01-06T18:14:00Z</dcterms:created>
  <dcterms:modified xsi:type="dcterms:W3CDTF">2024-08-09T09:33:00Z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0x0101002029563636949C4EBE3D9731BDEDBC74</vt:lpwstr>
  </property>
  <property fmtid="{D5CDD505-2E9C-101B-9397-08002B2CF9AE}" pid="3" name="Order">
    <vt:r8>1527300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